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86F10">
      <w:pPr>
        <w:rPr>
          <w:sz w:val="32"/>
        </w:rPr>
      </w:pPr>
    </w:p>
    <w:p w14:paraId="7A37CA10">
      <w:pPr>
        <w:bidi w:val="0"/>
        <w:rPr>
          <w:rFonts w:hint="eastAsia" w:ascii="仿宋_GB2312" w:hAnsi="仿宋_GB2312" w:eastAsia="仿宋_GB2312" w:cs="Times New Roman"/>
          <w:kern w:val="2"/>
          <w:sz w:val="32"/>
          <w:szCs w:val="32"/>
          <w:lang w:val="en-US" w:eastAsia="zh-CN" w:bidi="ar-SA"/>
        </w:rPr>
      </w:pPr>
    </w:p>
    <w:p w14:paraId="1A71C8DD">
      <w:pPr>
        <w:bidi w:val="0"/>
        <w:rPr>
          <w:rFonts w:hint="eastAsia"/>
          <w:lang w:val="en-US" w:eastAsia="zh-CN"/>
        </w:rPr>
      </w:pPr>
    </w:p>
    <w:p w14:paraId="2A71732F">
      <w:pPr>
        <w:bidi w:val="0"/>
        <w:rPr>
          <w:rFonts w:hint="eastAsia"/>
          <w:lang w:val="en-US" w:eastAsia="zh-CN"/>
        </w:rPr>
      </w:pPr>
    </w:p>
    <w:p w14:paraId="23833D73">
      <w:pPr>
        <w:bidi w:val="0"/>
        <w:rPr>
          <w:rFonts w:hint="eastAsia"/>
          <w:lang w:val="en-US" w:eastAsia="zh-CN"/>
        </w:rPr>
      </w:pPr>
    </w:p>
    <w:p w14:paraId="0CAFA06B">
      <w:pPr>
        <w:bidi w:val="0"/>
        <w:rPr>
          <w:rFonts w:hint="eastAsia"/>
          <w:lang w:val="en-US" w:eastAsia="zh-CN"/>
        </w:rPr>
      </w:pPr>
    </w:p>
    <w:p w14:paraId="0232CE1A">
      <w:pPr>
        <w:bidi w:val="0"/>
        <w:rPr>
          <w:rFonts w:hint="eastAsia"/>
          <w:lang w:val="en-US" w:eastAsia="zh-CN"/>
        </w:rPr>
      </w:pPr>
    </w:p>
    <w:p w14:paraId="73F489B2">
      <w:pPr>
        <w:bidi w:val="0"/>
        <w:ind w:left="0" w:leftChars="0" w:firstLine="0" w:firstLineChars="0"/>
        <w:jc w:val="center"/>
        <w:rPr>
          <w:rFonts w:hint="eastAsia" w:ascii="仿宋_GB2312" w:hAnsi="仿宋_GB2312" w:eastAsia="仿宋_GB2312" w:cs="仿宋_GB2312"/>
          <w:spacing w:val="-20"/>
          <w:sz w:val="32"/>
          <w:szCs w:val="32"/>
        </w:rPr>
      </w:pPr>
    </w:p>
    <w:p w14:paraId="331E656E">
      <w:pPr>
        <w:bidi w:val="0"/>
        <w:ind w:left="0" w:leftChars="0" w:firstLine="0" w:firstLineChars="0"/>
        <w:jc w:val="center"/>
        <w:rPr>
          <w:rFonts w:hint="eastAsia"/>
          <w:lang w:val="en-US" w:eastAsia="zh-CN"/>
        </w:rPr>
      </w:pPr>
      <w:r>
        <w:rPr>
          <w:rFonts w:hint="eastAsia" w:ascii="仿宋_GB2312" w:hAnsi="仿宋_GB2312" w:eastAsia="仿宋_GB2312" w:cs="仿宋_GB2312"/>
          <w:spacing w:val="-20"/>
          <w:sz w:val="32"/>
          <w:szCs w:val="32"/>
        </w:rPr>
        <w:t>吉市（龙）环建（表）字〔20</w:t>
      </w:r>
      <w:r>
        <w:rPr>
          <w:rFonts w:hint="eastAsia" w:cs="仿宋_GB2312"/>
          <w:spacing w:val="-20"/>
          <w:sz w:val="32"/>
          <w:szCs w:val="32"/>
          <w:lang w:val="en-US" w:eastAsia="zh-CN"/>
        </w:rPr>
        <w:t>25</w:t>
      </w:r>
      <w:r>
        <w:rPr>
          <w:rFonts w:hint="eastAsia" w:ascii="仿宋_GB2312" w:hAnsi="仿宋_GB2312" w:eastAsia="仿宋_GB2312" w:cs="仿宋_GB2312"/>
          <w:spacing w:val="-20"/>
          <w:sz w:val="32"/>
          <w:szCs w:val="32"/>
        </w:rPr>
        <w:t>〕</w:t>
      </w:r>
      <w:r>
        <w:rPr>
          <w:rFonts w:hint="eastAsia" w:cs="仿宋_GB2312"/>
          <w:spacing w:val="-20"/>
          <w:sz w:val="32"/>
          <w:szCs w:val="32"/>
          <w:lang w:val="en-US" w:eastAsia="zh-CN"/>
        </w:rPr>
        <w:t>3</w:t>
      </w:r>
      <w:r>
        <w:rPr>
          <w:rFonts w:hint="eastAsia" w:ascii="仿宋_GB2312" w:hAnsi="仿宋_GB2312" w:eastAsia="仿宋_GB2312" w:cs="仿宋_GB2312"/>
          <w:spacing w:val="-20"/>
          <w:sz w:val="32"/>
          <w:szCs w:val="32"/>
        </w:rPr>
        <w:t>号</w:t>
      </w:r>
    </w:p>
    <w:p w14:paraId="557B8273">
      <w:pPr>
        <w:bidi w:val="0"/>
        <w:ind w:left="0" w:leftChars="0" w:firstLine="0" w:firstLineChars="0"/>
        <w:jc w:val="both"/>
        <w:rPr>
          <w:rFonts w:hint="eastAsia" w:ascii="仿宋_GB2312" w:hAnsi="仿宋_GB2312" w:eastAsia="仿宋_GB2312" w:cs="仿宋_GB2312"/>
          <w:spacing w:val="-20"/>
          <w:sz w:val="32"/>
          <w:szCs w:val="32"/>
        </w:rPr>
      </w:pPr>
    </w:p>
    <w:p w14:paraId="36FC3066">
      <w:pPr>
        <w:spacing w:after="100" w:afterAutospacing="1" w:line="600" w:lineRule="exact"/>
        <w:ind w:left="0" w:leftChars="0" w:firstLine="0" w:firstLineChars="0"/>
        <w:jc w:val="center"/>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val="0"/>
          <w:w w:val="90"/>
          <w:sz w:val="44"/>
          <w:szCs w:val="44"/>
          <w:lang w:eastAsia="zh-CN"/>
        </w:rPr>
        <w:t>关于吉林市龙潭区聚成塑业有限公司废塑料破碎清洗建设项目环境影响报告表</w:t>
      </w:r>
      <w:r>
        <w:rPr>
          <w:rFonts w:hint="eastAsia" w:ascii="方正小标宋简体" w:hAnsi="方正小标宋简体" w:eastAsia="方正小标宋简体" w:cs="方正小标宋简体"/>
          <w:b w:val="0"/>
          <w:bCs w:val="0"/>
          <w:w w:val="90"/>
          <w:sz w:val="44"/>
          <w:szCs w:val="44"/>
        </w:rPr>
        <w:t>的批复</w:t>
      </w:r>
    </w:p>
    <w:p w14:paraId="49837C97">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 w:hAnsi="仿宋" w:eastAsia="仿宋" w:cs="仿宋_GB2312"/>
          <w:color w:val="000000"/>
          <w:kern w:val="0"/>
          <w:sz w:val="32"/>
          <w:szCs w:val="32"/>
        </w:rPr>
        <w:t>吉林市龙潭区聚成塑业有限公司</w:t>
      </w:r>
      <w:r>
        <w:rPr>
          <w:rFonts w:hint="eastAsia" w:ascii="仿宋_GB2312" w:hAnsi="Calibri" w:eastAsia="仿宋_GB2312" w:cs="Times New Roman"/>
          <w:color w:val="auto"/>
          <w:kern w:val="2"/>
          <w:sz w:val="32"/>
          <w:szCs w:val="32"/>
          <w:lang w:val="en-US" w:eastAsia="zh-CN" w:bidi="ar-SA"/>
        </w:rPr>
        <w:t>：</w:t>
      </w:r>
    </w:p>
    <w:p w14:paraId="2B7B0CF7">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你单位《关于对〈吉林市龙潭区聚成塑业有限公司废塑料破碎清洗建设项目环境影响报告表〉审查的申请》和委</w:t>
      </w:r>
      <w:r>
        <w:rPr>
          <w:rFonts w:hint="eastAsia" w:hAnsi="Calibri" w:cs="Times New Roman"/>
          <w:color w:val="auto"/>
          <w:kern w:val="2"/>
          <w:sz w:val="32"/>
          <w:szCs w:val="32"/>
          <w:lang w:val="en-US" w:eastAsia="zh-CN" w:bidi="ar-SA"/>
        </w:rPr>
        <w:t>托吉林市岚璟环保科技有限公司</w:t>
      </w:r>
      <w:r>
        <w:rPr>
          <w:rFonts w:hint="eastAsia" w:ascii="仿宋_GB2312" w:hAnsi="Calibri" w:eastAsia="仿宋_GB2312" w:cs="Times New Roman"/>
          <w:color w:val="auto"/>
          <w:kern w:val="2"/>
          <w:sz w:val="32"/>
          <w:szCs w:val="32"/>
          <w:lang w:val="en-US" w:eastAsia="zh-CN" w:bidi="ar-SA"/>
        </w:rPr>
        <w:t>编制的《吉林市龙潭区聚成塑业有限公司废塑料破碎清洗建设项目环境影响报告表》</w:t>
      </w:r>
      <w:r>
        <w:rPr>
          <w:rFonts w:hint="eastAsia" w:hAnsi="Calibri" w:cs="Times New Roman"/>
          <w:color w:val="auto"/>
          <w:kern w:val="2"/>
          <w:sz w:val="32"/>
          <w:szCs w:val="32"/>
          <w:lang w:val="en-US" w:eastAsia="zh-CN" w:bidi="ar-SA"/>
        </w:rPr>
        <w:t>（报批版）</w:t>
      </w:r>
      <w:r>
        <w:rPr>
          <w:rFonts w:hint="eastAsia" w:ascii="仿宋_GB2312" w:hAnsi="Calibri" w:eastAsia="仿宋_GB2312" w:cs="Times New Roman"/>
          <w:color w:val="auto"/>
          <w:kern w:val="2"/>
          <w:sz w:val="32"/>
          <w:szCs w:val="32"/>
          <w:lang w:val="en-US" w:eastAsia="zh-CN" w:bidi="ar-SA"/>
        </w:rPr>
        <w:t xml:space="preserve">收悉。经研究，现批复如下：　 </w:t>
      </w:r>
    </w:p>
    <w:p w14:paraId="0B0F14DC">
      <w:pPr>
        <w:keepNext w:val="0"/>
        <w:keepLines w:val="0"/>
        <w:pageBreakBefore w:val="0"/>
        <w:widowControl/>
        <w:numPr>
          <w:ilvl w:val="0"/>
          <w:numId w:val="3"/>
        </w:numPr>
        <w:suppressLineNumbers w:val="0"/>
        <w:kinsoku/>
        <w:wordWrap/>
        <w:overflowPunct/>
        <w:topLinePunct w:val="0"/>
        <w:bidi w:val="0"/>
        <w:snapToGrid/>
        <w:spacing w:line="480" w:lineRule="exact"/>
        <w:jc w:val="left"/>
        <w:textAlignment w:val="auto"/>
        <w:rPr>
          <w:rFonts w:hint="eastAsia" w:ascii="仿宋_GB2312" w:eastAsia="仿宋_GB2312"/>
          <w:color w:val="auto"/>
          <w:sz w:val="32"/>
          <w:szCs w:val="32"/>
        </w:rPr>
      </w:pPr>
      <w:r>
        <w:rPr>
          <w:rFonts w:hint="eastAsia" w:ascii="仿宋_GB2312" w:hAnsi="Calibri" w:eastAsia="仿宋_GB2312" w:cs="Times New Roman"/>
          <w:color w:val="auto"/>
          <w:kern w:val="2"/>
          <w:sz w:val="32"/>
          <w:szCs w:val="32"/>
          <w:lang w:val="en-US" w:eastAsia="zh-CN" w:bidi="ar-SA"/>
        </w:rPr>
        <w:t>吉林市龙潭区聚成塑业有限公司位于吉林化学工业循环经济示范园区星光路西侧，本项目</w:t>
      </w:r>
      <w:r>
        <w:rPr>
          <w:rFonts w:hint="eastAsia" w:hAnsi="Calibri" w:cs="Times New Roman"/>
          <w:color w:val="auto"/>
          <w:kern w:val="2"/>
          <w:sz w:val="32"/>
          <w:szCs w:val="32"/>
          <w:lang w:val="en-US" w:eastAsia="zh-CN" w:bidi="ar-SA"/>
        </w:rPr>
        <w:t>租用</w:t>
      </w:r>
      <w:r>
        <w:rPr>
          <w:rFonts w:hint="eastAsia" w:ascii="仿宋_GB2312" w:hAnsi="Calibri" w:eastAsia="仿宋_GB2312" w:cs="Times New Roman"/>
          <w:color w:val="auto"/>
          <w:kern w:val="2"/>
          <w:sz w:val="32"/>
          <w:szCs w:val="32"/>
          <w:lang w:val="en-US" w:eastAsia="zh-CN" w:bidi="ar-SA"/>
        </w:rPr>
        <w:t>现有厂房，新建4条总处理能力为33000t/a的废塑料破碎清洗生产线。本项目</w:t>
      </w:r>
      <w:r>
        <w:rPr>
          <w:rFonts w:hint="eastAsia" w:hAnsi="Calibri" w:cs="Times New Roman"/>
          <w:color w:val="auto"/>
          <w:kern w:val="2"/>
          <w:sz w:val="32"/>
          <w:szCs w:val="32"/>
          <w:lang w:val="en-US" w:eastAsia="zh-CN" w:bidi="ar-SA"/>
        </w:rPr>
        <w:t>原料采用</w:t>
      </w:r>
      <w:r>
        <w:rPr>
          <w:rFonts w:hint="eastAsia" w:ascii="仿宋_GB2312" w:hAnsi="Calibri" w:eastAsia="仿宋_GB2312" w:cs="Times New Roman"/>
          <w:color w:val="auto"/>
          <w:kern w:val="2"/>
          <w:sz w:val="32"/>
          <w:szCs w:val="32"/>
          <w:lang w:val="en-US" w:eastAsia="zh-CN" w:bidi="ar-SA"/>
        </w:rPr>
        <w:t>废聚乙烯塑料</w:t>
      </w:r>
      <w:r>
        <w:rPr>
          <w:rFonts w:hint="eastAsia" w:hAnsi="Calibri"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废聚丙烯塑料</w:t>
      </w:r>
      <w:r>
        <w:rPr>
          <w:rFonts w:hint="eastAsia" w:hAnsi="Calibri"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不采</w:t>
      </w:r>
      <w:r>
        <w:rPr>
          <w:rFonts w:hint="eastAsia" w:hAnsi="Calibri" w:cs="Times New Roman"/>
          <w:color w:val="auto"/>
          <w:kern w:val="2"/>
          <w:sz w:val="32"/>
          <w:szCs w:val="32"/>
          <w:lang w:val="en-US" w:eastAsia="zh-CN" w:bidi="ar-SA"/>
        </w:rPr>
        <w:t>用</w:t>
      </w:r>
      <w:r>
        <w:rPr>
          <w:rFonts w:hint="eastAsia" w:ascii="仿宋_GB2312" w:hAnsi="Calibri" w:eastAsia="仿宋_GB2312" w:cs="Times New Roman"/>
          <w:color w:val="auto"/>
          <w:kern w:val="2"/>
          <w:sz w:val="32"/>
          <w:szCs w:val="32"/>
          <w:lang w:val="en-US" w:eastAsia="zh-CN" w:bidi="ar-SA"/>
        </w:rPr>
        <w:t>未分类打包的散料。本项目禁止使用废塑料类别：危险废物</w:t>
      </w:r>
      <w:r>
        <w:rPr>
          <w:rFonts w:hint="eastAsia"/>
          <w:highlight w:val="none"/>
          <w:lang w:eastAsia="zh-CN"/>
        </w:rPr>
        <w:t>、</w:t>
      </w:r>
      <w:r>
        <w:rPr>
          <w:rFonts w:hint="eastAsia"/>
          <w:highlight w:val="none"/>
          <w:lang w:val="en-US" w:eastAsia="zh-CN"/>
        </w:rPr>
        <w:t>医疗废物、进口废塑料、含氟塑料，以及沾</w:t>
      </w:r>
      <w:r>
        <w:rPr>
          <w:rFonts w:hint="eastAsia"/>
          <w:highlight w:val="none"/>
        </w:rPr>
        <w:t>染危险化学品、</w:t>
      </w:r>
      <w:r>
        <w:rPr>
          <w:rFonts w:hint="eastAsia" w:ascii="仿宋_GB2312" w:eastAsia="仿宋_GB2312"/>
          <w:sz w:val="32"/>
          <w:szCs w:val="32"/>
        </w:rPr>
        <w:t>放射性原料</w:t>
      </w:r>
      <w:r>
        <w:rPr>
          <w:rFonts w:hint="eastAsia"/>
          <w:sz w:val="32"/>
          <w:szCs w:val="32"/>
          <w:lang w:eastAsia="zh-CN"/>
        </w:rPr>
        <w:t>、</w:t>
      </w:r>
      <w:r>
        <w:rPr>
          <w:rFonts w:hint="eastAsia"/>
          <w:highlight w:val="none"/>
        </w:rPr>
        <w:t>农药</w:t>
      </w:r>
      <w:r>
        <w:rPr>
          <w:rFonts w:hint="eastAsia"/>
          <w:highlight w:val="none"/>
          <w:lang w:eastAsia="zh-CN"/>
        </w:rPr>
        <w:t>、</w:t>
      </w:r>
      <w:r>
        <w:rPr>
          <w:rFonts w:hint="eastAsia"/>
          <w:highlight w:val="none"/>
        </w:rPr>
        <w:t>染料、强酸、强碱</w:t>
      </w:r>
      <w:r>
        <w:rPr>
          <w:rFonts w:hint="eastAsia"/>
          <w:highlight w:val="none"/>
          <w:lang w:eastAsia="zh-CN"/>
        </w:rPr>
        <w:t>、</w:t>
      </w:r>
      <w:r>
        <w:rPr>
          <w:rFonts w:hint="eastAsia"/>
          <w:highlight w:val="none"/>
          <w:lang w:val="en-US" w:eastAsia="zh-CN"/>
        </w:rPr>
        <w:t>工业油脂</w:t>
      </w:r>
      <w:r>
        <w:rPr>
          <w:rFonts w:hint="eastAsia"/>
          <w:highlight w:val="none"/>
        </w:rPr>
        <w:t>的废弃塑料</w:t>
      </w:r>
      <w:r>
        <w:rPr>
          <w:rFonts w:hint="eastAsia"/>
          <w:highlight w:val="none"/>
          <w:lang w:val="en-US" w:eastAsia="zh-CN"/>
        </w:rPr>
        <w:t>和塑料</w:t>
      </w:r>
      <w:r>
        <w:rPr>
          <w:rFonts w:hint="eastAsia"/>
          <w:highlight w:val="none"/>
        </w:rPr>
        <w:t>包装物</w:t>
      </w:r>
      <w:r>
        <w:rPr>
          <w:rFonts w:hint="eastAsia"/>
          <w:highlight w:val="none"/>
          <w:lang w:val="en-US" w:eastAsia="zh-CN"/>
        </w:rPr>
        <w:t>等</w:t>
      </w:r>
      <w:r>
        <w:rPr>
          <w:rFonts w:hint="eastAsia"/>
          <w:highlight w:val="none"/>
          <w:lang w:eastAsia="zh-CN"/>
        </w:rPr>
        <w:t>。</w:t>
      </w:r>
      <w:r>
        <w:rPr>
          <w:rFonts w:hint="eastAsia" w:ascii="仿宋_GB2312" w:hAnsi="Times New Roman" w:eastAsia="仿宋_GB2312" w:cs="Times New Roman"/>
          <w:sz w:val="32"/>
          <w:szCs w:val="32"/>
          <w:lang w:val="en-US" w:eastAsia="zh-CN"/>
        </w:rPr>
        <w:t>主体工程：</w:t>
      </w:r>
      <w:r>
        <w:rPr>
          <w:rFonts w:hint="eastAsia" w:ascii="仿宋_GB2312" w:hAnsi="仿宋_GB2312" w:eastAsia="仿宋_GB2312" w:cs="仿宋_GB2312"/>
          <w:sz w:val="32"/>
          <w:szCs w:val="32"/>
        </w:rPr>
        <w:t>3780m</w:t>
      </w:r>
      <w:r>
        <w:rPr>
          <w:rFonts w:hint="eastAsia" w:ascii="仿宋_GB2312" w:hAnsi="仿宋_GB2312" w:eastAsia="仿宋_GB2312" w:cs="仿宋_GB2312"/>
          <w:sz w:val="32"/>
          <w:szCs w:val="32"/>
          <w:vertAlign w:val="superscript"/>
        </w:rPr>
        <w:t>2</w:t>
      </w:r>
      <w:r>
        <w:rPr>
          <w:rFonts w:hint="eastAsia" w:hAnsi="Times New Roman" w:cs="Times New Roman"/>
          <w:sz w:val="32"/>
          <w:szCs w:val="32"/>
          <w:lang w:val="en-US" w:eastAsia="zh-CN"/>
        </w:rPr>
        <w:t>生产厂房：依托厂区西南侧现有1层L型厂房</w:t>
      </w:r>
      <w:r>
        <w:rPr>
          <w:rFonts w:hint="eastAsia" w:ascii="仿宋_GB2312" w:hAnsi="仿宋_GB2312" w:eastAsia="仿宋_GB2312" w:cs="仿宋_GB2312"/>
          <w:sz w:val="32"/>
          <w:szCs w:val="32"/>
          <w:vertAlign w:val="baseline"/>
          <w:lang w:eastAsia="zh-CN"/>
        </w:rPr>
        <w:t>，</w:t>
      </w:r>
      <w:r>
        <w:rPr>
          <w:rFonts w:hint="eastAsia" w:cs="仿宋_GB2312"/>
          <w:sz w:val="32"/>
          <w:szCs w:val="32"/>
          <w:vertAlign w:val="baseline"/>
          <w:lang w:val="en-US" w:eastAsia="zh-CN"/>
        </w:rPr>
        <w:t>内设4条预处理生产线：干粉1#线，处理不含铁的</w:t>
      </w:r>
      <w:r>
        <w:rPr>
          <w:rFonts w:hint="eastAsia" w:ascii="仿宋_GB2312" w:hAnsi="Calibri" w:eastAsia="仿宋_GB2312" w:cs="Times New Roman"/>
          <w:color w:val="auto"/>
          <w:kern w:val="2"/>
          <w:sz w:val="32"/>
          <w:szCs w:val="32"/>
          <w:lang w:val="en-US" w:eastAsia="zh-CN" w:bidi="ar-SA"/>
        </w:rPr>
        <w:t>废聚丙烯塑料</w:t>
      </w:r>
      <w:r>
        <w:rPr>
          <w:rFonts w:hint="eastAsia" w:hAnsi="Calibri" w:cs="Times New Roman"/>
          <w:color w:val="auto"/>
          <w:kern w:val="2"/>
          <w:sz w:val="32"/>
          <w:szCs w:val="32"/>
          <w:lang w:val="en-US" w:eastAsia="zh-CN" w:bidi="ar-SA"/>
        </w:rPr>
        <w:t>，</w:t>
      </w:r>
      <w:r>
        <w:rPr>
          <w:rFonts w:hint="eastAsia" w:cs="仿宋_GB2312"/>
          <w:sz w:val="32"/>
          <w:szCs w:val="32"/>
          <w:vertAlign w:val="baseline"/>
          <w:lang w:val="en-US" w:eastAsia="zh-CN"/>
        </w:rPr>
        <w:t>干粉处理能力为6000t/a；湿粉1#、2#、3#线，对废塑料按颜色、含铁情况分类处理，包含工序：除铁—湿粉—甩干—清洗浮选—甩干—除标—筛分—分选—色选，总处理能力为27000t/a。储运工程：1000m</w:t>
      </w:r>
      <w:r>
        <w:rPr>
          <w:rFonts w:hint="eastAsia" w:cs="仿宋_GB2312"/>
          <w:sz w:val="32"/>
          <w:szCs w:val="32"/>
          <w:vertAlign w:val="superscript"/>
          <w:lang w:val="en-US" w:eastAsia="zh-CN"/>
        </w:rPr>
        <w:t>2</w:t>
      </w:r>
      <w:r>
        <w:rPr>
          <w:rFonts w:hint="eastAsia" w:cs="仿宋_GB2312"/>
          <w:sz w:val="32"/>
          <w:szCs w:val="32"/>
          <w:vertAlign w:val="baseline"/>
          <w:lang w:val="en-US" w:eastAsia="zh-CN"/>
        </w:rPr>
        <w:t>原料贮存区：位于厂区北侧1层封闭库房东侧部分，原料分类放置；1000m</w:t>
      </w:r>
      <w:r>
        <w:rPr>
          <w:rFonts w:hint="eastAsia" w:cs="仿宋_GB2312"/>
          <w:sz w:val="32"/>
          <w:szCs w:val="32"/>
          <w:vertAlign w:val="superscript"/>
          <w:lang w:val="en-US" w:eastAsia="zh-CN"/>
        </w:rPr>
        <w:t>2</w:t>
      </w:r>
      <w:r>
        <w:rPr>
          <w:rFonts w:hint="eastAsia" w:cs="仿宋_GB2312"/>
          <w:sz w:val="32"/>
          <w:szCs w:val="32"/>
          <w:vertAlign w:val="baseline"/>
          <w:lang w:val="en-US" w:eastAsia="zh-CN"/>
        </w:rPr>
        <w:t>产品贮存区：位于L型厂房内东侧；50m</w:t>
      </w:r>
      <w:r>
        <w:rPr>
          <w:rFonts w:hint="eastAsia" w:cs="仿宋_GB2312"/>
          <w:sz w:val="32"/>
          <w:szCs w:val="32"/>
          <w:vertAlign w:val="superscript"/>
          <w:lang w:val="en-US" w:eastAsia="zh-CN"/>
        </w:rPr>
        <w:t>2</w:t>
      </w:r>
      <w:r>
        <w:rPr>
          <w:rFonts w:hint="eastAsia" w:cs="仿宋_GB2312"/>
          <w:sz w:val="32"/>
          <w:szCs w:val="32"/>
          <w:vertAlign w:val="baseline"/>
          <w:lang w:val="en-US" w:eastAsia="zh-CN"/>
        </w:rPr>
        <w:t>一般固废暂存点：位于L型厂房内西北侧。环保工程：湿粉生产线排水设备分布区设废水收集处置系统：围堰（3个，容积共47.8m</w:t>
      </w:r>
      <w:r>
        <w:rPr>
          <w:rFonts w:hint="eastAsia" w:cs="仿宋_GB2312"/>
          <w:sz w:val="32"/>
          <w:szCs w:val="32"/>
          <w:vertAlign w:val="superscript"/>
          <w:lang w:val="en-US" w:eastAsia="zh-CN"/>
        </w:rPr>
        <w:t>3</w:t>
      </w:r>
      <w:r>
        <w:rPr>
          <w:rFonts w:hint="eastAsia" w:cs="仿宋_GB2312"/>
          <w:sz w:val="32"/>
          <w:szCs w:val="32"/>
          <w:vertAlign w:val="baseline"/>
          <w:lang w:val="en-US" w:eastAsia="zh-CN"/>
        </w:rPr>
        <w:t>）—地下漂浮物收集池（3个，</w:t>
      </w:r>
      <w:r>
        <w:rPr>
          <w:rFonts w:hint="eastAsia"/>
          <w:highlight w:val="none"/>
          <w:u w:val="none"/>
          <w:lang w:val="en-US" w:eastAsia="zh-CN"/>
        </w:rPr>
        <w:t>容积共27</w:t>
      </w:r>
      <w:r>
        <w:rPr>
          <w:rFonts w:hint="eastAsia" w:cs="仿宋_GB2312"/>
          <w:sz w:val="32"/>
          <w:szCs w:val="32"/>
          <w:vertAlign w:val="baseline"/>
          <w:lang w:val="en-US" w:eastAsia="zh-CN"/>
        </w:rPr>
        <w:t>m</w:t>
      </w:r>
      <w:r>
        <w:rPr>
          <w:rFonts w:hint="eastAsia" w:cs="仿宋_GB2312"/>
          <w:sz w:val="32"/>
          <w:szCs w:val="32"/>
          <w:vertAlign w:val="superscript"/>
          <w:lang w:val="en-US" w:eastAsia="zh-CN"/>
        </w:rPr>
        <w:t>3</w:t>
      </w:r>
      <w:r>
        <w:rPr>
          <w:rFonts w:hint="eastAsia" w:cs="仿宋_GB2312"/>
          <w:sz w:val="32"/>
          <w:szCs w:val="32"/>
          <w:vertAlign w:val="baseline"/>
          <w:lang w:val="en-US" w:eastAsia="zh-CN"/>
        </w:rPr>
        <w:t>）—防渗地沟—四级地下沉淀池（4个沉淀池串联，单个处理能力为30m</w:t>
      </w:r>
      <w:r>
        <w:rPr>
          <w:rFonts w:hint="eastAsia" w:cs="仿宋_GB2312"/>
          <w:sz w:val="32"/>
          <w:szCs w:val="32"/>
          <w:vertAlign w:val="superscript"/>
          <w:lang w:val="en-US" w:eastAsia="zh-CN"/>
        </w:rPr>
        <w:t>3</w:t>
      </w:r>
      <w:r>
        <w:rPr>
          <w:rFonts w:hint="eastAsia" w:cs="仿宋_GB2312"/>
          <w:sz w:val="32"/>
          <w:szCs w:val="32"/>
          <w:vertAlign w:val="baseline"/>
          <w:lang w:val="en-US" w:eastAsia="zh-CN"/>
        </w:rPr>
        <w:t>/h），改造现有沉淀池泥砂收集池（1个，容积80m</w:t>
      </w:r>
      <w:r>
        <w:rPr>
          <w:rFonts w:hint="eastAsia" w:cs="仿宋_GB2312"/>
          <w:sz w:val="32"/>
          <w:szCs w:val="32"/>
          <w:vertAlign w:val="superscript"/>
          <w:lang w:val="en-US" w:eastAsia="zh-CN"/>
        </w:rPr>
        <w:t>3</w:t>
      </w:r>
      <w:r>
        <w:rPr>
          <w:rFonts w:hint="eastAsia" w:cs="仿宋_GB2312"/>
          <w:sz w:val="32"/>
          <w:szCs w:val="32"/>
          <w:vertAlign w:val="baseline"/>
          <w:lang w:val="en-US" w:eastAsia="zh-CN"/>
        </w:rPr>
        <w:t>）。冬季办公楼依托集中供热</w:t>
      </w:r>
      <w:r>
        <w:rPr>
          <w:rFonts w:hint="eastAsia" w:hAnsi="Times New Roman" w:cs="Times New Roman"/>
          <w:sz w:val="32"/>
          <w:szCs w:val="32"/>
          <w:lang w:val="en-US" w:eastAsia="zh-CN"/>
        </w:rPr>
        <w:t>采暖，生产不用热</w:t>
      </w:r>
      <w:r>
        <w:rPr>
          <w:rFonts w:hint="eastAsia" w:cs="Times New Roman"/>
          <w:lang w:eastAsia="zh-CN"/>
        </w:rPr>
        <w:t>。本项目占地面积</w:t>
      </w:r>
      <w:r>
        <w:rPr>
          <w:rFonts w:hint="eastAsia" w:cs="Times New Roman"/>
          <w:lang w:val="en-US" w:eastAsia="zh-CN"/>
        </w:rPr>
        <w:t>14282</w:t>
      </w:r>
      <w:r>
        <w:rPr>
          <w:rFonts w:hint="eastAsia" w:hAnsi="Calibri" w:cs="Times New Roman"/>
          <w:color w:val="auto"/>
          <w:kern w:val="2"/>
          <w:sz w:val="32"/>
          <w:szCs w:val="32"/>
          <w:highlight w:val="none"/>
          <w:lang w:val="en-US" w:eastAsia="zh-CN" w:bidi="ar-SA"/>
        </w:rPr>
        <w:t>.48</w:t>
      </w:r>
      <w:r>
        <w:rPr>
          <w:rFonts w:hint="eastAsia" w:cs="Times New Roman"/>
          <w:lang w:eastAsia="zh-CN"/>
        </w:rPr>
        <w:t>m</w:t>
      </w:r>
      <w:r>
        <w:rPr>
          <w:rFonts w:hint="eastAsia" w:cs="Times New Roman"/>
          <w:vertAlign w:val="superscript"/>
          <w:lang w:eastAsia="zh-CN"/>
        </w:rPr>
        <w:t>2</w:t>
      </w:r>
      <w:r>
        <w:rPr>
          <w:rFonts w:hint="eastAsia" w:cs="Times New Roman"/>
          <w:lang w:eastAsia="zh-CN"/>
        </w:rPr>
        <w:t>。新增劳动定员10人，</w:t>
      </w:r>
      <w:r>
        <w:rPr>
          <w:rFonts w:hint="eastAsia" w:cs="Times New Roman"/>
          <w:lang w:val="en-US" w:eastAsia="zh-CN"/>
        </w:rPr>
        <w:t>工作时间为</w:t>
      </w:r>
      <w:r>
        <w:rPr>
          <w:rFonts w:hint="eastAsia" w:cs="Times New Roman"/>
          <w:lang w:eastAsia="zh-CN"/>
        </w:rPr>
        <w:t>昼间8:00—18:00，年运行300</w:t>
      </w:r>
      <w:r>
        <w:rPr>
          <w:rFonts w:hint="eastAsia" w:cs="Times New Roman"/>
          <w:lang w:val="en-US" w:eastAsia="zh-CN"/>
        </w:rPr>
        <w:t>天</w:t>
      </w:r>
      <w:r>
        <w:rPr>
          <w:rFonts w:hint="eastAsia" w:cs="Times New Roman"/>
          <w:lang w:eastAsia="zh-CN"/>
        </w:rPr>
        <w:t>，2班制</w:t>
      </w:r>
      <w:r>
        <w:rPr>
          <w:rFonts w:hint="eastAsia" w:hAnsi="Calibri" w:cs="Times New Roman"/>
          <w:color w:val="auto"/>
          <w:kern w:val="2"/>
          <w:sz w:val="32"/>
          <w:szCs w:val="32"/>
          <w:highlight w:val="none"/>
          <w:lang w:val="en-US" w:eastAsia="zh-CN" w:bidi="ar-SA"/>
        </w:rPr>
        <w:t>。本项目总投资200万元，环保投资13.9万元。</w:t>
      </w:r>
      <w:r>
        <w:rPr>
          <w:rFonts w:hint="eastAsia" w:ascii="仿宋_GB2312" w:hAnsi="Times New Roman" w:eastAsia="仿宋_GB2312" w:cs="Times New Roman"/>
          <w:color w:val="auto"/>
          <w:sz w:val="32"/>
          <w:szCs w:val="32"/>
          <w:highlight w:val="none"/>
          <w:lang w:val="en-US" w:eastAsia="zh-CN"/>
        </w:rPr>
        <w:t>根</w:t>
      </w:r>
      <w:r>
        <w:rPr>
          <w:rFonts w:hint="eastAsia" w:ascii="仿宋_GB2312" w:eastAsia="仿宋_GB2312"/>
          <w:color w:val="auto"/>
          <w:sz w:val="32"/>
          <w:szCs w:val="32"/>
          <w:highlight w:val="none"/>
        </w:rPr>
        <w:t>据</w:t>
      </w:r>
      <w:r>
        <w:rPr>
          <w:rFonts w:hint="eastAsia" w:ascii="仿宋_GB2312" w:eastAsia="仿宋_GB2312"/>
          <w:color w:val="auto"/>
          <w:sz w:val="32"/>
          <w:szCs w:val="32"/>
        </w:rPr>
        <w:t>环境影响报告表评价结论和</w:t>
      </w:r>
      <w:r>
        <w:rPr>
          <w:rFonts w:hint="eastAsia" w:ascii="仿宋_GB2312" w:eastAsia="仿宋_GB2312"/>
          <w:color w:val="auto"/>
          <w:sz w:val="32"/>
          <w:szCs w:val="32"/>
          <w:lang w:eastAsia="zh-CN"/>
        </w:rPr>
        <w:t>技术评估</w:t>
      </w:r>
      <w:r>
        <w:rPr>
          <w:rFonts w:hint="eastAsia" w:ascii="仿宋_GB2312" w:eastAsia="仿宋_GB2312"/>
          <w:color w:val="auto"/>
          <w:sz w:val="32"/>
          <w:szCs w:val="32"/>
        </w:rPr>
        <w:t>意见，严格落实环境影响报告表提出的各项环境保护和环境风险防控措施。我局原则同意建设单位按照环评报告及下述要求进行项目建设。该项目环境影响报告表（报批版）可以作为环保设计及其建成后环境管理依据。</w:t>
      </w:r>
    </w:p>
    <w:p w14:paraId="091FF86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color w:val="auto"/>
          <w:sz w:val="32"/>
          <w:szCs w:val="32"/>
          <w:lang w:val="en-US" w:eastAsia="zh-CN"/>
        </w:rPr>
      </w:pPr>
      <w:r>
        <w:rPr>
          <w:rFonts w:hint="eastAsia"/>
          <w:color w:val="auto"/>
          <w:sz w:val="32"/>
          <w:szCs w:val="32"/>
          <w:lang w:val="en-US" w:eastAsia="zh-CN"/>
        </w:rPr>
        <w:t>二、项目建设应重点做好以下工作：</w:t>
      </w:r>
    </w:p>
    <w:p w14:paraId="2ED6B3D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color w:val="auto"/>
          <w:sz w:val="32"/>
          <w:szCs w:val="32"/>
          <w:lang w:val="en-US" w:eastAsia="zh-CN"/>
        </w:rPr>
      </w:pPr>
      <w:r>
        <w:rPr>
          <w:rFonts w:hint="eastAsia"/>
          <w:color w:val="auto"/>
          <w:sz w:val="32"/>
          <w:szCs w:val="32"/>
          <w:lang w:val="en-US" w:eastAsia="zh-CN"/>
        </w:rPr>
        <w:t>1、加强建设期环境管理。本项目施</w:t>
      </w:r>
      <w:r>
        <w:rPr>
          <w:rFonts w:hint="eastAsia" w:cs="Times New Roman"/>
          <w:color w:val="auto"/>
          <w:sz w:val="32"/>
          <w:szCs w:val="32"/>
          <w:lang w:val="en-US" w:eastAsia="zh-CN"/>
        </w:rPr>
        <w:t>工期主要工程为漂浮物收集池、地沟、地磅、围堰、池体连接</w:t>
      </w:r>
      <w:r>
        <w:rPr>
          <w:rFonts w:hint="eastAsia"/>
          <w:color w:val="auto"/>
          <w:sz w:val="32"/>
          <w:szCs w:val="32"/>
          <w:lang w:val="en-US" w:eastAsia="zh-CN"/>
        </w:rPr>
        <w:t>管线的修建以及设备安装。施工人员生活污水依托厂区现有生活污水管线，排入吉化污水处理厂处理。在封闭厂房内进行管道焊接及池体挖掘，采用移动焊烟净化器；砂石料存放在封闭库房内，露天临时堆放时须采用苫布遮盖；运输车辆采取防尘防遗撒措施，施工场地定期洒水降尘</w:t>
      </w:r>
      <w:r>
        <w:rPr>
          <w:rFonts w:hint="eastAsia" w:cs="Times New Roman"/>
          <w:color w:val="auto"/>
          <w:sz w:val="32"/>
          <w:szCs w:val="32"/>
          <w:lang w:val="en-US" w:eastAsia="zh-CN"/>
        </w:rPr>
        <w:t>。施工期废包装物和废金属外售废品收购站，</w:t>
      </w:r>
      <w:r>
        <w:rPr>
          <w:rFonts w:hint="eastAsia"/>
          <w:color w:val="auto"/>
          <w:sz w:val="32"/>
          <w:szCs w:val="32"/>
          <w:lang w:val="en-US" w:eastAsia="zh-CN"/>
        </w:rPr>
        <w:t>建筑垃圾临时堆放在封闭车间内并及时清运至建筑垃圾指定堆放点，</w:t>
      </w:r>
      <w:r>
        <w:rPr>
          <w:rFonts w:hint="eastAsia" w:cs="Times New Roman"/>
          <w:color w:val="auto"/>
          <w:sz w:val="32"/>
          <w:szCs w:val="32"/>
          <w:lang w:val="en-US" w:eastAsia="zh-CN"/>
        </w:rPr>
        <w:t>生活垃圾集中收集并由环卫部门统一清运；使用低噪声施工机械，合理安排施工时间，控制施工期噪声符合《建筑施工场界环境噪声排放标准》（GB12523-2011）要求</w:t>
      </w:r>
      <w:r>
        <w:rPr>
          <w:rFonts w:hint="eastAsia"/>
          <w:color w:val="auto"/>
          <w:sz w:val="32"/>
          <w:szCs w:val="32"/>
          <w:lang w:val="en-US" w:eastAsia="zh-CN"/>
        </w:rPr>
        <w:t>，将项目建设对外界环境影响降至最低。落实施工期的各项污染防治措施，防止发生环境污染和扰民事件。</w:t>
      </w:r>
    </w:p>
    <w:p w14:paraId="1F4A744C">
      <w:pPr>
        <w:pStyle w:val="24"/>
        <w:keepNext w:val="0"/>
        <w:keepLines w:val="0"/>
        <w:pageBreakBefore w:val="0"/>
        <w:tabs>
          <w:tab w:val="left" w:pos="1260"/>
        </w:tabs>
        <w:kinsoku/>
        <w:wordWrap/>
        <w:overflowPunct/>
        <w:topLinePunct w:val="0"/>
        <w:bidi w:val="0"/>
        <w:snapToGrid/>
        <w:spacing w:line="480" w:lineRule="exact"/>
        <w:ind w:firstLine="640" w:firstLineChars="200"/>
        <w:textAlignment w:val="auto"/>
        <w:rPr>
          <w:rFonts w:hint="eastAsia"/>
          <w:color w:val="auto"/>
          <w:sz w:val="32"/>
          <w:szCs w:val="32"/>
          <w:lang w:val="en-US" w:eastAsia="zh-CN"/>
        </w:rPr>
      </w:pPr>
      <w:r>
        <w:rPr>
          <w:rFonts w:hint="eastAsia" w:ascii="仿宋_GB2312" w:hAnsi="仿宋_GB2312" w:eastAsia="仿宋_GB2312" w:cs="Times New Roman"/>
          <w:color w:val="auto"/>
          <w:kern w:val="2"/>
          <w:sz w:val="32"/>
          <w:szCs w:val="32"/>
          <w:lang w:val="en-US" w:eastAsia="zh-CN" w:bidi="ar-SA"/>
        </w:rPr>
        <w:t>2</w:t>
      </w:r>
      <w:r>
        <w:rPr>
          <w:rFonts w:hint="eastAsia"/>
          <w:color w:val="auto"/>
          <w:sz w:val="32"/>
          <w:szCs w:val="32"/>
          <w:lang w:val="en-US" w:eastAsia="zh-CN"/>
        </w:rPr>
        <w:t>、本项目运营期湿粉、甩干、清洗浮选（不使用清洁剂）、托盘沥水工序产生废水及地面清洗废水由</w:t>
      </w:r>
      <w:r>
        <w:rPr>
          <w:rFonts w:hint="eastAsia" w:cs="仿宋_GB2312"/>
          <w:sz w:val="32"/>
          <w:szCs w:val="32"/>
          <w:vertAlign w:val="baseline"/>
          <w:lang w:val="en-US" w:eastAsia="zh-CN"/>
        </w:rPr>
        <w:t>废水收集处置系统收集</w:t>
      </w:r>
      <w:r>
        <w:rPr>
          <w:rFonts w:hint="eastAsia"/>
          <w:color w:val="auto"/>
          <w:sz w:val="32"/>
          <w:szCs w:val="32"/>
          <w:lang w:val="en-US" w:eastAsia="zh-CN"/>
        </w:rPr>
        <w:t>处理，沉淀池混凝沉淀剂采用聚合氯化铝，尾池上清液回用于生产工艺用水，沉淀池废水排入吉林万邦达环保技术有限公司处理</w:t>
      </w:r>
      <w:r>
        <w:rPr>
          <w:rFonts w:hint="eastAsia" w:cs="Times New Roman"/>
          <w:color w:val="auto"/>
          <w:sz w:val="32"/>
          <w:szCs w:val="32"/>
          <w:lang w:val="en-US" w:eastAsia="zh-CN"/>
        </w:rPr>
        <w:t>，满足《城镇污水处理厂污染物排放标准》（GB18918-2002）一级A标准后排入松花江；生活污水依托厂区现有生活污水管线，排入吉化污水处理厂处理，满足《石油化学工业污染物排放标准》（GB 31571-2015）要求后排入松花江。</w:t>
      </w:r>
    </w:p>
    <w:p w14:paraId="00A3EEC9">
      <w:pPr>
        <w:pStyle w:val="15"/>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_GB2312"/>
          <w:color w:val="000000"/>
          <w:kern w:val="0"/>
          <w:sz w:val="32"/>
          <w:szCs w:val="32"/>
        </w:rPr>
      </w:pPr>
      <w:r>
        <w:rPr>
          <w:rFonts w:hint="eastAsia" w:cs="Times New Roman"/>
          <w:color w:val="auto"/>
          <w:sz w:val="32"/>
          <w:szCs w:val="32"/>
          <w:lang w:val="en-US" w:eastAsia="zh-CN"/>
        </w:rPr>
        <w:t>3、本项目运营期产生的废气主要为干式破碎、甩干、除标、气力输送、分选、色选工艺产生的颗粒物。干式破碎废气采用集气罩收集，甩干、除标、气力输送废气采用与设备连接的管线收集。干式破碎、甩干、除标工序产生的颗粒物收集至废气收集室1内，经布袋除尘器处理后通过20m高排气筒排放；气力输送产生的颗粒物收集至废气收集室2内，经布袋除尘器处理后通过同一根20m高排气筒排放。色选、分选产生的颗粒物经设备内部粉尘收集仓收集后排放。加强管理，确保颗粒物有组织排放浓度和排放速率均满足《大气污染物综合排放标准》（GB16297-1996）表2二级排放限值要求；厂界颗粒物无组织排放监控浓度限值满足《大气污染物综合排放标准》（GB16297-1996）表2排放限值要求。</w:t>
      </w:r>
    </w:p>
    <w:p w14:paraId="24924A5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cs="Times New Roman"/>
          <w:color w:val="auto"/>
          <w:sz w:val="32"/>
          <w:szCs w:val="32"/>
          <w:lang w:val="en-US" w:eastAsia="zh-CN"/>
        </w:rPr>
      </w:pPr>
      <w:r>
        <w:rPr>
          <w:rFonts w:hint="eastAsia"/>
          <w:color w:val="auto"/>
          <w:sz w:val="32"/>
          <w:szCs w:val="32"/>
          <w:lang w:val="en-US" w:eastAsia="zh-CN"/>
        </w:rPr>
        <w:t>4、优先选用低噪音设备，采取有效的隔声减振措施，生产期间关闭门窗，确保厂界噪声符合《工业企业厂界环境噪声排</w:t>
      </w:r>
      <w:r>
        <w:rPr>
          <w:rFonts w:hint="eastAsia" w:cs="Times New Roman"/>
          <w:color w:val="auto"/>
          <w:sz w:val="32"/>
          <w:szCs w:val="32"/>
          <w:lang w:val="en-US" w:eastAsia="zh-CN"/>
        </w:rPr>
        <w:t>放标准》（GB12348-2008）中3类声环境功能区限值。</w:t>
      </w:r>
    </w:p>
    <w:p w14:paraId="0F7E28C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cs="Times New Roman"/>
          <w:color w:val="auto"/>
          <w:sz w:val="32"/>
          <w:szCs w:val="32"/>
          <w:lang w:val="en-US" w:eastAsia="zh-CN"/>
        </w:rPr>
      </w:pPr>
      <w:r>
        <w:rPr>
          <w:rFonts w:hint="eastAsia" w:cs="Times New Roman"/>
          <w:color w:val="auto"/>
          <w:sz w:val="32"/>
          <w:szCs w:val="32"/>
          <w:lang w:val="en-US" w:eastAsia="zh-CN"/>
        </w:rPr>
        <w:t>5、本项目废标签、废铁、废原料包装袋收集后外售废品站，沉淀池泥砂、废布袋、除尘灰定期委托有资质单位处置；生活垃圾收集后由环卫部门定期清运。</w:t>
      </w:r>
    </w:p>
    <w:p w14:paraId="1AFA4383">
      <w:pPr>
        <w:keepNext w:val="0"/>
        <w:keepLines w:val="0"/>
        <w:pageBreakBefore w:val="0"/>
        <w:widowControl/>
        <w:kinsoku/>
        <w:wordWrap/>
        <w:overflowPunct/>
        <w:topLinePunct w:val="0"/>
        <w:autoSpaceDE/>
        <w:autoSpaceDN/>
        <w:bidi w:val="0"/>
        <w:adjustRightInd/>
        <w:snapToGrid/>
        <w:spacing w:line="480" w:lineRule="exact"/>
        <w:ind w:left="0" w:firstLine="640" w:firstLineChars="200"/>
        <w:jc w:val="both"/>
        <w:textAlignment w:val="auto"/>
        <w:rPr>
          <w:rFonts w:hint="eastAsia" w:ascii="仿宋_GB2312" w:hAnsi="仿宋_GB2312" w:eastAsia="仿宋_GB2312" w:cs="Times New Roman"/>
          <w:color w:val="auto"/>
          <w:kern w:val="2"/>
          <w:sz w:val="32"/>
          <w:szCs w:val="32"/>
          <w:lang w:val="en-US" w:eastAsia="zh-CN" w:bidi="ar-SA"/>
        </w:rPr>
      </w:pPr>
      <w:r>
        <w:rPr>
          <w:rFonts w:hint="eastAsia" w:cs="Times New Roman"/>
          <w:color w:val="auto"/>
          <w:kern w:val="2"/>
          <w:sz w:val="32"/>
          <w:szCs w:val="32"/>
          <w:lang w:val="en-US" w:eastAsia="zh-CN" w:bidi="ar-SA"/>
        </w:rPr>
        <w:t>6</w:t>
      </w:r>
      <w:r>
        <w:rPr>
          <w:rFonts w:hint="eastAsia" w:ascii="仿宋_GB2312" w:hAnsi="仿宋_GB2312" w:eastAsia="仿宋_GB2312" w:cs="Times New Roman"/>
          <w:color w:val="auto"/>
          <w:kern w:val="2"/>
          <w:sz w:val="32"/>
          <w:szCs w:val="32"/>
          <w:lang w:val="en-US" w:eastAsia="zh-CN" w:bidi="ar-SA"/>
        </w:rPr>
        <w:t>、严格落实环评报告中地下水</w:t>
      </w:r>
      <w:r>
        <w:rPr>
          <w:rFonts w:hint="eastAsia" w:cs="Times New Roman"/>
          <w:color w:val="auto"/>
          <w:kern w:val="2"/>
          <w:sz w:val="32"/>
          <w:szCs w:val="32"/>
          <w:lang w:val="en-US" w:eastAsia="zh-CN" w:bidi="ar-SA"/>
        </w:rPr>
        <w:t>和</w:t>
      </w:r>
      <w:r>
        <w:rPr>
          <w:rFonts w:hint="eastAsia" w:ascii="仿宋_GB2312" w:hAnsi="仿宋_GB2312" w:eastAsia="仿宋_GB2312" w:cs="Times New Roman"/>
          <w:color w:val="auto"/>
          <w:kern w:val="2"/>
          <w:sz w:val="32"/>
          <w:szCs w:val="32"/>
          <w:lang w:val="en-US" w:eastAsia="zh-CN" w:bidi="ar-SA"/>
        </w:rPr>
        <w:t>土壤污染防治措施。本项目采取相应的地下水</w:t>
      </w:r>
      <w:r>
        <w:rPr>
          <w:rFonts w:hint="eastAsia" w:cs="Times New Roman"/>
          <w:color w:val="auto"/>
          <w:kern w:val="2"/>
          <w:sz w:val="32"/>
          <w:szCs w:val="32"/>
          <w:lang w:val="en-US" w:eastAsia="zh-CN" w:bidi="ar-SA"/>
        </w:rPr>
        <w:t>和土壤</w:t>
      </w:r>
      <w:r>
        <w:rPr>
          <w:rFonts w:hint="eastAsia" w:ascii="仿宋_GB2312" w:hAnsi="仿宋_GB2312" w:eastAsia="仿宋_GB2312" w:cs="Times New Roman"/>
          <w:color w:val="auto"/>
          <w:kern w:val="2"/>
          <w:sz w:val="32"/>
          <w:szCs w:val="32"/>
          <w:lang w:val="en-US" w:eastAsia="zh-CN" w:bidi="ar-SA"/>
        </w:rPr>
        <w:t>污染防</w:t>
      </w:r>
      <w:r>
        <w:rPr>
          <w:rFonts w:hint="eastAsia" w:cs="Times New Roman"/>
          <w:color w:val="auto"/>
          <w:kern w:val="2"/>
          <w:sz w:val="32"/>
          <w:szCs w:val="32"/>
          <w:lang w:val="en-US" w:eastAsia="zh-CN" w:bidi="ar-SA"/>
        </w:rPr>
        <w:t>控</w:t>
      </w:r>
      <w:r>
        <w:rPr>
          <w:rFonts w:hint="eastAsia" w:ascii="仿宋_GB2312" w:hAnsi="仿宋_GB2312" w:eastAsia="仿宋_GB2312" w:cs="Times New Roman"/>
          <w:color w:val="auto"/>
          <w:kern w:val="2"/>
          <w:sz w:val="32"/>
          <w:szCs w:val="32"/>
          <w:lang w:val="en-US" w:eastAsia="zh-CN" w:bidi="ar-SA"/>
        </w:rPr>
        <w:t>措施，对厂区进行分区防渗，按照不同的防渗要求做好防渗工作。本项目</w:t>
      </w:r>
      <w:r>
        <w:rPr>
          <w:rFonts w:hint="eastAsia" w:cs="Times New Roman"/>
          <w:color w:val="auto"/>
          <w:kern w:val="2"/>
          <w:sz w:val="32"/>
          <w:szCs w:val="32"/>
          <w:lang w:val="en-US" w:eastAsia="zh-CN" w:bidi="ar-SA"/>
        </w:rPr>
        <w:t>围堰采用</w:t>
      </w:r>
      <w:r>
        <w:rPr>
          <w:rFonts w:hint="eastAsia" w:cs="仿宋_GB2312"/>
          <w:sz w:val="32"/>
          <w:szCs w:val="32"/>
          <w:vertAlign w:val="baseline"/>
          <w:lang w:val="en-US" w:eastAsia="zh-CN"/>
        </w:rPr>
        <w:t>不锈钢板焊接，嵌入车间地面下，嵌入缝隙采用防渗胶密封填充，确保无渗漏；围堰区域、</w:t>
      </w:r>
      <w:r>
        <w:rPr>
          <w:rFonts w:hint="eastAsia" w:ascii="仿宋_GB2312" w:hAnsi="仿宋_GB2312" w:eastAsia="仿宋_GB2312" w:cs="Times New Roman"/>
          <w:color w:val="auto"/>
          <w:kern w:val="2"/>
          <w:sz w:val="32"/>
          <w:szCs w:val="32"/>
          <w:lang w:val="en-US" w:eastAsia="zh-CN" w:bidi="ar-SA"/>
        </w:rPr>
        <w:t>漂</w:t>
      </w:r>
      <w:r>
        <w:rPr>
          <w:rFonts w:hint="eastAsia" w:ascii="仿宋_GB2312" w:hAnsi="仿宋_GB2312" w:eastAsia="仿宋_GB2312" w:cs="Times New Roman"/>
          <w:color w:val="auto"/>
          <w:kern w:val="2"/>
          <w:sz w:val="32"/>
          <w:szCs w:val="32"/>
          <w:highlight w:val="none"/>
          <w:lang w:val="en-US" w:eastAsia="zh-CN" w:bidi="ar-SA"/>
        </w:rPr>
        <w:t>浮物收集池、沉淀池、沉淀池泥砂储池</w:t>
      </w:r>
      <w:r>
        <w:rPr>
          <w:rFonts w:hint="eastAsia" w:cs="Times New Roman"/>
          <w:color w:val="auto"/>
          <w:kern w:val="2"/>
          <w:sz w:val="32"/>
          <w:szCs w:val="32"/>
          <w:highlight w:val="none"/>
          <w:lang w:val="en-US" w:eastAsia="zh-CN" w:bidi="ar-SA"/>
        </w:rPr>
        <w:t>、地沟为</w:t>
      </w:r>
      <w:r>
        <w:rPr>
          <w:rFonts w:hint="eastAsia" w:ascii="仿宋_GB2312" w:hAnsi="仿宋_GB2312" w:eastAsia="仿宋_GB2312" w:cs="Times New Roman"/>
          <w:color w:val="auto"/>
          <w:kern w:val="2"/>
          <w:sz w:val="32"/>
          <w:szCs w:val="32"/>
          <w:highlight w:val="none"/>
          <w:lang w:val="en-US" w:eastAsia="zh-CN" w:bidi="ar-SA"/>
        </w:rPr>
        <w:t>重点防渗区，等效黏土防渗层Mb≥6.0m，K≤1.0×10</w:t>
      </w:r>
      <w:r>
        <w:rPr>
          <w:rFonts w:hint="eastAsia" w:ascii="仿宋_GB2312" w:hAnsi="仿宋_GB2312" w:eastAsia="仿宋_GB2312" w:cs="Times New Roman"/>
          <w:color w:val="auto"/>
          <w:kern w:val="2"/>
          <w:sz w:val="32"/>
          <w:szCs w:val="32"/>
          <w:highlight w:val="none"/>
          <w:vertAlign w:val="superscript"/>
          <w:lang w:val="en-US" w:eastAsia="zh-CN" w:bidi="ar-SA"/>
        </w:rPr>
        <w:t>-7</w:t>
      </w:r>
      <w:r>
        <w:rPr>
          <w:rFonts w:hint="eastAsia" w:ascii="仿宋_GB2312" w:hAnsi="仿宋_GB2312" w:eastAsia="仿宋_GB2312" w:cs="Times New Roman"/>
          <w:color w:val="auto"/>
          <w:kern w:val="2"/>
          <w:sz w:val="32"/>
          <w:szCs w:val="32"/>
          <w:highlight w:val="none"/>
          <w:lang w:val="en-US" w:eastAsia="zh-CN" w:bidi="ar-SA"/>
        </w:rPr>
        <w:t>cm/s</w:t>
      </w:r>
      <w:r>
        <w:rPr>
          <w:rFonts w:hint="eastAsia" w:cs="Times New Roman"/>
          <w:color w:val="auto"/>
          <w:kern w:val="2"/>
          <w:sz w:val="32"/>
          <w:szCs w:val="32"/>
          <w:highlight w:val="none"/>
          <w:lang w:val="en-US" w:eastAsia="zh-CN" w:bidi="ar-SA"/>
        </w:rPr>
        <w:t>，池体</w:t>
      </w:r>
      <w:r>
        <w:rPr>
          <w:rFonts w:hint="eastAsia" w:ascii="仿宋_GB2312" w:hAnsi="仿宋_GB2312" w:eastAsia="仿宋_GB2312" w:cs="Times New Roman"/>
          <w:color w:val="auto"/>
          <w:kern w:val="2"/>
          <w:sz w:val="32"/>
          <w:szCs w:val="32"/>
          <w:highlight w:val="none"/>
          <w:lang w:val="en-US" w:eastAsia="zh-CN" w:bidi="ar-SA"/>
        </w:rPr>
        <w:t>均采用防渗混凝土+玻璃钢防腐材料。</w:t>
      </w:r>
      <w:r>
        <w:rPr>
          <w:rFonts w:hint="eastAsia" w:ascii="仿宋_GB2312" w:hAnsi="仿宋_GB2312" w:eastAsia="仿宋_GB2312" w:cs="Times New Roman"/>
          <w:color w:val="auto"/>
          <w:kern w:val="2"/>
          <w:sz w:val="32"/>
          <w:szCs w:val="32"/>
          <w:highlight w:val="none"/>
          <w:lang w:val="en-US" w:eastAsia="zh-CN" w:bidi="ar-SA"/>
        </w:rPr>
        <w:t>落实地下水</w:t>
      </w:r>
      <w:r>
        <w:rPr>
          <w:rFonts w:hint="eastAsia" w:cs="Times New Roman"/>
          <w:color w:val="auto"/>
          <w:kern w:val="2"/>
          <w:sz w:val="32"/>
          <w:szCs w:val="32"/>
          <w:highlight w:val="none"/>
          <w:lang w:val="en-US" w:eastAsia="zh-CN" w:bidi="ar-SA"/>
        </w:rPr>
        <w:t>和土壤</w:t>
      </w:r>
      <w:r>
        <w:rPr>
          <w:rFonts w:hint="eastAsia" w:ascii="仿宋_GB2312" w:hAnsi="仿宋_GB2312" w:eastAsia="仿宋_GB2312" w:cs="Times New Roman"/>
          <w:color w:val="auto"/>
          <w:kern w:val="2"/>
          <w:sz w:val="32"/>
          <w:szCs w:val="32"/>
          <w:highlight w:val="none"/>
          <w:lang w:val="en-US" w:eastAsia="zh-CN" w:bidi="ar-SA"/>
        </w:rPr>
        <w:t>风险防范措施，防止对地下水和土壤环境</w:t>
      </w:r>
      <w:r>
        <w:rPr>
          <w:rFonts w:hint="eastAsia" w:ascii="仿宋_GB2312" w:hAnsi="仿宋_GB2312" w:eastAsia="仿宋_GB2312" w:cs="Times New Roman"/>
          <w:color w:val="auto"/>
          <w:kern w:val="2"/>
          <w:sz w:val="32"/>
          <w:szCs w:val="32"/>
          <w:lang w:val="en-US" w:eastAsia="zh-CN" w:bidi="ar-SA"/>
        </w:rPr>
        <w:t>造成不利影响。</w:t>
      </w:r>
    </w:p>
    <w:p w14:paraId="0AD9D7CF">
      <w:pPr>
        <w:pStyle w:val="8"/>
        <w:keepNext w:val="0"/>
        <w:keepLines w:val="0"/>
        <w:pageBreakBefore w:val="0"/>
        <w:kinsoku/>
        <w:wordWrap/>
        <w:overflowPunct/>
        <w:topLinePunct w:val="0"/>
        <w:bidi w:val="0"/>
        <w:snapToGrid/>
        <w:spacing w:line="48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cs="仿宋_GB2312"/>
          <w:color w:val="auto"/>
          <w:kern w:val="0"/>
          <w:sz w:val="32"/>
          <w:szCs w:val="32"/>
          <w:highlight w:val="none"/>
          <w:lang w:val="en-US" w:eastAsia="zh-CN" w:bidi="ar-SA"/>
        </w:rPr>
        <w:t>7</w:t>
      </w:r>
      <w:r>
        <w:rPr>
          <w:rFonts w:hint="eastAsia" w:ascii="仿宋_GB2312" w:hAnsi="仿宋_GB2312" w:eastAsia="仿宋_GB2312" w:cs="仿宋_GB2312"/>
          <w:color w:val="auto"/>
          <w:kern w:val="0"/>
          <w:sz w:val="32"/>
          <w:szCs w:val="32"/>
          <w:highlight w:val="none"/>
          <w:lang w:val="en-US" w:eastAsia="zh-CN" w:bidi="ar-SA"/>
        </w:rPr>
        <w:t>、严格落实环评报告中的风险防范和应急措施。强化环境风险防范和应急措施，制订污染事故防范和处理应急预案，提高事故风险防范和污染控制能力。</w:t>
      </w:r>
    </w:p>
    <w:p w14:paraId="69BEFC97">
      <w:pPr>
        <w:pStyle w:val="10"/>
        <w:keepNext w:val="0"/>
        <w:keepLines w:val="0"/>
        <w:pageBreakBefore w:val="0"/>
        <w:numPr>
          <w:ilvl w:val="0"/>
          <w:numId w:val="0"/>
        </w:numPr>
        <w:kinsoku/>
        <w:wordWrap/>
        <w:overflowPunct/>
        <w:topLinePunct w:val="0"/>
        <w:bidi w:val="0"/>
        <w:snapToGrid/>
        <w:spacing w:line="480" w:lineRule="exact"/>
        <w:ind w:firstLine="640" w:firstLineChars="200"/>
        <w:textAlignment w:val="auto"/>
        <w:rPr>
          <w:rFonts w:hint="eastAsia" w:eastAsia="仿宋_GB2312"/>
          <w:lang w:val="en-US" w:eastAsia="zh-CN"/>
        </w:rPr>
      </w:pPr>
      <w:r>
        <w:rPr>
          <w:rFonts w:hint="eastAsia" w:cs="仿宋_GB2312"/>
          <w:color w:val="auto"/>
          <w:kern w:val="0"/>
          <w:sz w:val="32"/>
          <w:szCs w:val="32"/>
          <w:lang w:val="en-US" w:eastAsia="zh-CN" w:bidi="ar-SA"/>
        </w:rPr>
        <w:t>8、落实各项监测计划。</w:t>
      </w:r>
    </w:p>
    <w:p w14:paraId="6D46EBBD">
      <w:pPr>
        <w:pStyle w:val="8"/>
        <w:keepNext w:val="0"/>
        <w:keepLines w:val="0"/>
        <w:pageBreakBefore w:val="0"/>
        <w:kinsoku/>
        <w:wordWrap/>
        <w:overflowPunct/>
        <w:topLinePunct w:val="0"/>
        <w:bidi w:val="0"/>
        <w:snapToGrid/>
        <w:spacing w:line="480" w:lineRule="exact"/>
        <w:textAlignment w:val="auto"/>
        <w:rPr>
          <w:rFonts w:hint="eastAsia"/>
          <w:lang w:val="en-US" w:eastAsia="zh-CN"/>
        </w:rPr>
      </w:pPr>
      <w:r>
        <w:rPr>
          <w:rFonts w:hint="eastAsia" w:ascii="仿宋_GB2312" w:hAnsi="仿宋_GB2312" w:eastAsia="仿宋_GB2312" w:cs="Times New Roman"/>
          <w:color w:val="auto"/>
          <w:kern w:val="2"/>
          <w:sz w:val="32"/>
          <w:szCs w:val="32"/>
          <w:lang w:val="en-US" w:eastAsia="zh-CN" w:bidi="ar-SA"/>
        </w:rPr>
        <w:t>三、项目建设单位应开展项目施工期环境监理工作，环境监理报告作为项目竣工环境保护验收的依据之一。</w:t>
      </w:r>
    </w:p>
    <w:p w14:paraId="081E2C0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cs="仿宋_GB2312"/>
          <w:color w:val="auto"/>
          <w:kern w:val="0"/>
          <w:sz w:val="32"/>
          <w:szCs w:val="32"/>
          <w:lang w:val="en-US" w:eastAsia="zh-CN" w:bidi="ar-SA"/>
        </w:rPr>
        <w:t>四</w:t>
      </w:r>
      <w:r>
        <w:rPr>
          <w:rFonts w:hint="eastAsia" w:ascii="仿宋_GB2312" w:hAnsi="仿宋_GB2312" w:eastAsia="仿宋_GB2312" w:cs="仿宋_GB2312"/>
          <w:color w:val="auto"/>
          <w:kern w:val="0"/>
          <w:sz w:val="32"/>
          <w:szCs w:val="32"/>
          <w:lang w:val="en-US" w:eastAsia="zh-CN" w:bidi="ar-SA"/>
        </w:rPr>
        <w:t>、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重新审核。</w:t>
      </w:r>
    </w:p>
    <w:p w14:paraId="529D977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cs="仿宋_GB2312"/>
          <w:color w:val="auto"/>
          <w:kern w:val="0"/>
          <w:sz w:val="32"/>
          <w:szCs w:val="32"/>
          <w:lang w:val="en-US" w:eastAsia="zh-CN" w:bidi="ar-SA"/>
        </w:rPr>
        <w:t>五</w:t>
      </w:r>
      <w:r>
        <w:rPr>
          <w:rFonts w:hint="eastAsia" w:ascii="仿宋_GB2312" w:hAnsi="仿宋_GB2312" w:eastAsia="仿宋_GB2312" w:cs="仿宋_GB2312"/>
          <w:color w:val="auto"/>
          <w:kern w:val="0"/>
          <w:sz w:val="32"/>
          <w:szCs w:val="32"/>
          <w:lang w:val="en-US" w:eastAsia="zh-CN" w:bidi="ar-SA"/>
        </w:rPr>
        <w:t>、有机衔接环境影响评价与排污许可证申领。按照《排污许可管理办法》的要求，项目在启动生产设施或者在实际排污之前，申请并领取排污许可证，要将经批准的环境影响评价文件中各项环境保护措施、污染物排放清单及其他有关内容载入排污许可证，并按证排污。</w:t>
      </w:r>
    </w:p>
    <w:p w14:paraId="6D55168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cs="仿宋_GB2312"/>
          <w:color w:val="auto"/>
          <w:kern w:val="0"/>
          <w:sz w:val="32"/>
          <w:szCs w:val="32"/>
          <w:lang w:val="en-US" w:eastAsia="zh-CN" w:bidi="ar-SA"/>
        </w:rPr>
        <w:t>六</w:t>
      </w:r>
      <w:r>
        <w:rPr>
          <w:rFonts w:hint="eastAsia" w:ascii="仿宋_GB2312" w:hAnsi="仿宋_GB2312" w:eastAsia="仿宋_GB2312" w:cs="仿宋_GB2312"/>
          <w:color w:val="auto"/>
          <w:kern w:val="0"/>
          <w:sz w:val="32"/>
          <w:szCs w:val="32"/>
          <w:lang w:val="en-US" w:eastAsia="zh-CN" w:bidi="ar-SA"/>
        </w:rPr>
        <w:t>、项目建设要严格执行配套建设的环境保护设施与主体工程同时设计、同时施工、同时投入使用的环境保护“三同时”制度。项目竣工后，建设单位按规定程序进行环保设施竣工验收。验收合格后，项目方可正式投入运行。</w:t>
      </w:r>
    </w:p>
    <w:p w14:paraId="199F53A2">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cs="仿宋_GB2312"/>
          <w:color w:val="auto"/>
          <w:kern w:val="0"/>
          <w:sz w:val="32"/>
          <w:szCs w:val="32"/>
          <w:lang w:val="en-US" w:eastAsia="zh-CN" w:bidi="ar-SA"/>
        </w:rPr>
        <w:t>七</w:t>
      </w:r>
      <w:r>
        <w:rPr>
          <w:rFonts w:hint="eastAsia" w:ascii="仿宋_GB2312" w:hAnsi="仿宋_GB2312" w:eastAsia="仿宋_GB2312" w:cs="仿宋_GB2312"/>
          <w:color w:val="auto"/>
          <w:kern w:val="0"/>
          <w:sz w:val="32"/>
          <w:szCs w:val="32"/>
          <w:lang w:val="en-US" w:eastAsia="zh-CN" w:bidi="ar-SA"/>
        </w:rPr>
        <w:t>、由吉林市生态环境保护综合行政执法支队龙潭大队负责按照《建设项目环境保护事中事后监督管理办法</w:t>
      </w:r>
      <w:r>
        <w:rPr>
          <w:rFonts w:hint="eastAsia"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试行</w:t>
      </w:r>
      <w:r>
        <w:rPr>
          <w:rFonts w:hint="eastAsia"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w:t>
      </w:r>
      <w:r>
        <w:rPr>
          <w:rFonts w:hint="eastAsia"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环发</w:t>
      </w:r>
      <w:r>
        <w:rPr>
          <w:rFonts w:hint="eastAsia" w:cs="仿宋_GB2312"/>
          <w:color w:val="auto"/>
          <w:kern w:val="0"/>
          <w:sz w:val="32"/>
          <w:szCs w:val="32"/>
          <w:lang w:val="en-US" w:eastAsia="zh-CN" w:bidi="ar-SA"/>
        </w:rPr>
        <w:t>〔2015〕</w:t>
      </w:r>
      <w:r>
        <w:rPr>
          <w:rFonts w:hint="eastAsia" w:ascii="仿宋_GB2312" w:hAnsi="仿宋_GB2312" w:eastAsia="仿宋_GB2312" w:cs="仿宋_GB2312"/>
          <w:color w:val="auto"/>
          <w:kern w:val="0"/>
          <w:sz w:val="32"/>
          <w:szCs w:val="32"/>
          <w:lang w:val="en-US" w:eastAsia="zh-CN" w:bidi="ar-SA"/>
        </w:rPr>
        <w:t>163号</w:t>
      </w:r>
      <w:r>
        <w:rPr>
          <w:rFonts w:hint="eastAsia"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的规定，进行本建设项目事中事后的环境监督管理工作。</w:t>
      </w:r>
    </w:p>
    <w:p w14:paraId="0CC317C8">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sz w:val="32"/>
          <w:szCs w:val="32"/>
          <w:lang w:eastAsia="zh-CN"/>
        </w:rPr>
      </w:pPr>
    </w:p>
    <w:p w14:paraId="7D334DB1">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sz w:val="32"/>
          <w:szCs w:val="32"/>
          <w:lang w:eastAsia="zh-CN"/>
        </w:rPr>
      </w:pPr>
    </w:p>
    <w:p w14:paraId="37FC7754">
      <w:pPr>
        <w:pStyle w:val="8"/>
        <w:keepNext w:val="0"/>
        <w:keepLines w:val="0"/>
        <w:pageBreakBefore w:val="0"/>
        <w:kinsoku/>
        <w:wordWrap/>
        <w:overflowPunct/>
        <w:topLinePunct w:val="0"/>
        <w:bidi w:val="0"/>
        <w:snapToGrid/>
        <w:spacing w:line="480" w:lineRule="exact"/>
        <w:textAlignment w:val="auto"/>
        <w:rPr>
          <w:rFonts w:hint="eastAsia"/>
          <w:lang w:eastAsia="zh-CN"/>
        </w:rPr>
      </w:pPr>
    </w:p>
    <w:p w14:paraId="189AE74F">
      <w:pPr>
        <w:keepNext w:val="0"/>
        <w:keepLines w:val="0"/>
        <w:pageBreakBefore w:val="0"/>
        <w:widowControl w:val="0"/>
        <w:kinsoku/>
        <w:wordWrap/>
        <w:overflowPunct/>
        <w:topLinePunct w:val="0"/>
        <w:autoSpaceDE w:val="0"/>
        <w:autoSpaceDN w:val="0"/>
        <w:bidi w:val="0"/>
        <w:adjustRightInd w:val="0"/>
        <w:snapToGrid/>
        <w:spacing w:line="480" w:lineRule="exact"/>
        <w:ind w:firstLine="4480" w:firstLineChars="14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吉林市生态环境局</w:t>
      </w:r>
    </w:p>
    <w:p w14:paraId="306458A1">
      <w:pPr>
        <w:keepNext w:val="0"/>
        <w:keepLines w:val="0"/>
        <w:pageBreakBefore w:val="0"/>
        <w:widowControl w:val="0"/>
        <w:kinsoku/>
        <w:wordWrap/>
        <w:overflowPunct/>
        <w:topLinePunct w:val="0"/>
        <w:autoSpaceDE w:val="0"/>
        <w:autoSpaceDN w:val="0"/>
        <w:bidi w:val="0"/>
        <w:adjustRightInd w:val="0"/>
        <w:snapToGrid/>
        <w:spacing w:line="48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2025</w:t>
      </w:r>
      <w:r>
        <w:rPr>
          <w:rFonts w:hint="eastAsia" w:ascii="仿宋_GB2312" w:hAnsi="仿宋_GB2312" w:eastAsia="仿宋_GB2312" w:cs="仿宋_GB2312"/>
          <w:sz w:val="32"/>
          <w:szCs w:val="32"/>
        </w:rPr>
        <w:t>年</w:t>
      </w:r>
      <w:r>
        <w:rPr>
          <w:rFonts w:hint="eastAsia" w:cs="仿宋_GB2312"/>
          <w:sz w:val="32"/>
          <w:szCs w:val="32"/>
          <w:lang w:val="en-US" w:eastAsia="zh-CN"/>
        </w:rPr>
        <w:t>4月11</w:t>
      </w:r>
      <w:r>
        <w:rPr>
          <w:rFonts w:hint="eastAsia" w:ascii="仿宋_GB2312" w:hAnsi="仿宋_GB2312" w:eastAsia="仿宋_GB2312" w:cs="仿宋_GB2312"/>
          <w:sz w:val="32"/>
          <w:szCs w:val="32"/>
        </w:rPr>
        <w:t>日</w:t>
      </w:r>
      <w:r>
        <w:rPr>
          <w:rFonts w:hint="eastAsia" w:cs="仿宋_GB2312"/>
          <w:sz w:val="32"/>
          <w:szCs w:val="32"/>
          <w:lang w:val="en-US" w:eastAsia="zh-CN"/>
        </w:rPr>
        <w:t xml:space="preserve">        </w:t>
      </w:r>
    </w:p>
    <w:tbl>
      <w:tblPr>
        <w:tblStyle w:val="17"/>
        <w:tblpPr w:vertAnchor="page" w:horzAnchor="page" w:tblpX="1642" w:tblpY="14105"/>
        <w:tblOverlap w:val="never"/>
        <w:tblW w:w="8861"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30"/>
        <w:gridCol w:w="4431"/>
      </w:tblGrid>
      <w:tr w14:paraId="514F32E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blHeader/>
        </w:trPr>
        <w:tc>
          <w:tcPr>
            <w:tcW w:w="8861" w:type="dxa"/>
            <w:gridSpan w:val="2"/>
            <w:shd w:val="clear" w:color="auto" w:fill="auto"/>
          </w:tcPr>
          <w:p w14:paraId="12E0639F">
            <w:pPr>
              <w:ind w:left="1160" w:leftChars="100" w:hanging="840" w:hanging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抄送：吉林市生态环境保护综合行政执法支队龙潭大队</w:t>
            </w:r>
          </w:p>
        </w:tc>
      </w:tr>
      <w:tr w14:paraId="487CC4A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4430" w:type="dxa"/>
            <w:shd w:val="clear" w:color="auto" w:fill="auto"/>
          </w:tcPr>
          <w:p w14:paraId="34098D63">
            <w:pPr>
              <w:ind w:left="0" w:leftChars="0" w:firstLine="280" w:firstLineChars="1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吉林市生态环境局</w:t>
            </w:r>
            <w:r>
              <w:rPr>
                <w:rFonts w:hint="eastAsia" w:ascii="仿宋_GB2312" w:hAnsi="仿宋_GB2312" w:eastAsia="仿宋_GB2312" w:cs="仿宋_GB2312"/>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5715</wp:posOffset>
                      </wp:positionV>
                      <wp:extent cx="562229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222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0.45pt;height:0pt;width:442.7pt;z-index:251660288;mso-width-relative:page;mso-height-relative:page;" filled="f" stroked="t" coordsize="21600,21600" o:gfxdata="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jzS+NAAAAADAQAADwAAAAAA&#10;AAABACAAAAAiAAAAZHJzL2Rvd25yZXYueG1sUEsBAhQAFAAAAAgAh07iQEbxpi3iAQAAsQMAAA4A&#10;AAAAAAAAAQAgAAAAHwEAAGRycy9lMm9Eb2MueG1sUEsFBgAAAAAGAAYAWQEAAHMFAAAAAA==&#10;">
                      <v:fill on="f" focussize="0,0"/>
                      <v:stroke weight="0.5pt" color="#000000 [3213]" miterlimit="8" joinstyle="miter"/>
                      <v:imagedata o:title=""/>
                      <o:lock v:ext="edit" aspectratio="f"/>
                    </v:line>
                  </w:pict>
                </mc:Fallback>
              </mc:AlternateContent>
            </w:r>
          </w:p>
        </w:tc>
        <w:tc>
          <w:tcPr>
            <w:tcW w:w="4431" w:type="dxa"/>
            <w:shd w:val="clear" w:color="auto" w:fill="auto"/>
          </w:tcPr>
          <w:p w14:paraId="28A1D31E">
            <w:pPr>
              <w:ind w:right="320" w:rightChars="1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w:t>
            </w:r>
            <w:r>
              <w:rPr>
                <w:rFonts w:hint="eastAsia" w:cs="仿宋_GB2312"/>
                <w:sz w:val="28"/>
                <w:szCs w:val="28"/>
                <w:lang w:val="en-US" w:eastAsia="zh-CN"/>
              </w:rPr>
              <w:t>5</w:t>
            </w:r>
            <w:r>
              <w:rPr>
                <w:rFonts w:hint="eastAsia" w:ascii="仿宋_GB2312" w:hAnsi="仿宋_GB2312" w:eastAsia="仿宋_GB2312" w:cs="仿宋_GB2312"/>
                <w:sz w:val="28"/>
                <w:szCs w:val="28"/>
              </w:rPr>
              <w:t>年</w:t>
            </w:r>
            <w:r>
              <w:rPr>
                <w:rFonts w:hint="eastAsia" w:cs="仿宋_GB2312"/>
                <w:sz w:val="28"/>
                <w:szCs w:val="28"/>
                <w:lang w:val="en-US" w:eastAsia="zh-CN"/>
              </w:rPr>
              <w:t>4</w:t>
            </w:r>
            <w:r>
              <w:rPr>
                <w:rFonts w:hint="eastAsia" w:ascii="仿宋_GB2312" w:hAnsi="仿宋_GB2312" w:eastAsia="仿宋_GB2312" w:cs="仿宋_GB2312"/>
                <w:sz w:val="28"/>
                <w:szCs w:val="28"/>
              </w:rPr>
              <w:t>月</w:t>
            </w:r>
            <w:r>
              <w:rPr>
                <w:rFonts w:hint="eastAsia" w:cs="仿宋_GB2312"/>
                <w:sz w:val="28"/>
                <w:szCs w:val="28"/>
                <w:lang w:val="en-US" w:eastAsia="zh-CN"/>
              </w:rPr>
              <w:t>11</w:t>
            </w:r>
            <w:r>
              <w:rPr>
                <w:rFonts w:hint="eastAsia" w:ascii="仿宋_GB2312" w:hAnsi="仿宋_GB2312" w:eastAsia="仿宋_GB2312" w:cs="仿宋_GB2312"/>
                <w:sz w:val="28"/>
                <w:szCs w:val="28"/>
              </w:rPr>
              <w:t>日印发</w:t>
            </w:r>
          </w:p>
        </w:tc>
      </w:tr>
    </w:tbl>
    <w:p w14:paraId="072CEC69">
      <w:pPr>
        <w:keepNext w:val="0"/>
        <w:keepLines w:val="0"/>
        <w:pageBreakBefore w:val="0"/>
        <w:widowControl w:val="0"/>
        <w:tabs>
          <w:tab w:val="left" w:pos="540"/>
        </w:tabs>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28E8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70FD8">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A70FD8">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31924"/>
    <w:multiLevelType w:val="singleLevel"/>
    <w:tmpl w:val="01F31924"/>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1">
    <w:nsid w:val="6D9420A4"/>
    <w:multiLevelType w:val="singleLevel"/>
    <w:tmpl w:val="6D9420A4"/>
    <w:lvl w:ilvl="0" w:tentative="0">
      <w:start w:val="1"/>
      <w:numFmt w:val="chineseCounting"/>
      <w:suff w:val="nothing"/>
      <w:lvlText w:val="%1、"/>
      <w:lvlJc w:val="left"/>
      <w:rPr>
        <w:rFonts w:hint="eastAsia"/>
      </w:rPr>
    </w:lvl>
  </w:abstractNum>
  <w:abstractNum w:abstractNumId="2">
    <w:nsid w:val="73E381FC"/>
    <w:multiLevelType w:val="multilevel"/>
    <w:tmpl w:val="73E381FC"/>
    <w:lvl w:ilvl="0" w:tentative="0">
      <w:start w:val="1"/>
      <w:numFmt w:val="chineseCounting"/>
      <w:pStyle w:val="4"/>
      <w:suff w:val="nothing"/>
      <w:lvlText w:val="%1、"/>
      <w:lvlJc w:val="left"/>
      <w:pPr>
        <w:tabs>
          <w:tab w:val="left" w:pos="993"/>
        </w:tabs>
        <w:ind w:left="993" w:firstLine="0"/>
      </w:pPr>
      <w:rPr>
        <w:rFonts w:hint="eastAsia"/>
      </w:rPr>
    </w:lvl>
    <w:lvl w:ilvl="1" w:tentative="0">
      <w:start w:val="1"/>
      <w:numFmt w:val="chineseCounting"/>
      <w:pStyle w:val="5"/>
      <w:suff w:val="nothing"/>
      <w:lvlText w:val="（%2）"/>
      <w:lvlJc w:val="left"/>
      <w:pPr>
        <w:ind w:left="993" w:firstLine="0"/>
      </w:pPr>
      <w:rPr>
        <w:rFonts w:hint="eastAsia" w:ascii="仿宋" w:hAnsi="仿宋" w:eastAsia="仿宋" w:cs="宋体"/>
      </w:rPr>
    </w:lvl>
    <w:lvl w:ilvl="2" w:tentative="0">
      <w:start w:val="1"/>
      <w:numFmt w:val="decimal"/>
      <w:pStyle w:val="6"/>
      <w:suff w:val="nothing"/>
      <w:lvlText w:val="%3．"/>
      <w:lvlJc w:val="left"/>
      <w:pPr>
        <w:ind w:left="993" w:firstLine="400"/>
      </w:pPr>
      <w:rPr>
        <w:rFonts w:hint="eastAsia" w:ascii="宋体" w:hAnsi="宋体" w:eastAsia="宋体" w:cs="宋体"/>
      </w:rPr>
    </w:lvl>
    <w:lvl w:ilvl="3" w:tentative="0">
      <w:start w:val="1"/>
      <w:numFmt w:val="decimal"/>
      <w:suff w:val="nothing"/>
      <w:lvlText w:val="（%4）"/>
      <w:lvlJc w:val="left"/>
      <w:pPr>
        <w:ind w:left="1017" w:firstLine="402"/>
      </w:pPr>
      <w:rPr>
        <w:rFonts w:hint="eastAsia" w:ascii="宋体" w:hAnsi="宋体" w:eastAsia="宋体" w:cs="宋体"/>
        <w:lang w:val="en-US"/>
      </w:rPr>
    </w:lvl>
    <w:lvl w:ilvl="4" w:tentative="0">
      <w:start w:val="1"/>
      <w:numFmt w:val="decimalEnclosedCircleChinese"/>
      <w:suff w:val="nothing"/>
      <w:lvlText w:val="%5"/>
      <w:lvlJc w:val="left"/>
      <w:pPr>
        <w:ind w:left="993" w:firstLine="402"/>
      </w:pPr>
      <w:rPr>
        <w:rFonts w:hint="eastAsia"/>
      </w:rPr>
    </w:lvl>
    <w:lvl w:ilvl="5" w:tentative="0">
      <w:start w:val="1"/>
      <w:numFmt w:val="decimal"/>
      <w:suff w:val="nothing"/>
      <w:lvlText w:val="%6）"/>
      <w:lvlJc w:val="left"/>
      <w:pPr>
        <w:ind w:left="993" w:firstLine="402"/>
      </w:pPr>
      <w:rPr>
        <w:rFonts w:hint="eastAsia"/>
      </w:rPr>
    </w:lvl>
    <w:lvl w:ilvl="6" w:tentative="0">
      <w:start w:val="1"/>
      <w:numFmt w:val="lowerLetter"/>
      <w:suff w:val="nothing"/>
      <w:lvlText w:val="%7．"/>
      <w:lvlJc w:val="left"/>
      <w:pPr>
        <w:ind w:left="993" w:firstLine="402"/>
      </w:pPr>
      <w:rPr>
        <w:rFonts w:hint="eastAsia"/>
      </w:rPr>
    </w:lvl>
    <w:lvl w:ilvl="7" w:tentative="0">
      <w:start w:val="1"/>
      <w:numFmt w:val="lowerLetter"/>
      <w:suff w:val="nothing"/>
      <w:lvlText w:val="%8）"/>
      <w:lvlJc w:val="left"/>
      <w:pPr>
        <w:ind w:left="993" w:firstLine="402"/>
      </w:pPr>
      <w:rPr>
        <w:rFonts w:hint="eastAsia"/>
      </w:rPr>
    </w:lvl>
    <w:lvl w:ilvl="8" w:tentative="0">
      <w:start w:val="1"/>
      <w:numFmt w:val="lowerRoman"/>
      <w:suff w:val="nothing"/>
      <w:lvlText w:val="%9 "/>
      <w:lvlJc w:val="left"/>
      <w:pPr>
        <w:ind w:left="993"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MTIyMzMxMGUyZGRiNjRkMDExZjZjMjcxNWM0YmQifQ=="/>
  </w:docVars>
  <w:rsids>
    <w:rsidRoot w:val="535011CF"/>
    <w:rsid w:val="01215C29"/>
    <w:rsid w:val="024D21D6"/>
    <w:rsid w:val="04BC5A9E"/>
    <w:rsid w:val="0654048B"/>
    <w:rsid w:val="07264286"/>
    <w:rsid w:val="07542310"/>
    <w:rsid w:val="077F5896"/>
    <w:rsid w:val="08EA2658"/>
    <w:rsid w:val="09674B56"/>
    <w:rsid w:val="0A094D1A"/>
    <w:rsid w:val="0C7236B3"/>
    <w:rsid w:val="0D832131"/>
    <w:rsid w:val="0E102B78"/>
    <w:rsid w:val="0E7616B1"/>
    <w:rsid w:val="0F062414"/>
    <w:rsid w:val="0F914A2F"/>
    <w:rsid w:val="0FE15608"/>
    <w:rsid w:val="10805303"/>
    <w:rsid w:val="116E69B0"/>
    <w:rsid w:val="121B3756"/>
    <w:rsid w:val="12270675"/>
    <w:rsid w:val="14311A36"/>
    <w:rsid w:val="1431732B"/>
    <w:rsid w:val="148924D2"/>
    <w:rsid w:val="14DA11F6"/>
    <w:rsid w:val="15D37529"/>
    <w:rsid w:val="160B1746"/>
    <w:rsid w:val="17D404E7"/>
    <w:rsid w:val="18381EC3"/>
    <w:rsid w:val="18527E28"/>
    <w:rsid w:val="19D8137C"/>
    <w:rsid w:val="1A50276F"/>
    <w:rsid w:val="1B1F3CE5"/>
    <w:rsid w:val="1C127FB7"/>
    <w:rsid w:val="1F196F14"/>
    <w:rsid w:val="1F560908"/>
    <w:rsid w:val="204824C9"/>
    <w:rsid w:val="2155673D"/>
    <w:rsid w:val="217B49B5"/>
    <w:rsid w:val="24F935EC"/>
    <w:rsid w:val="25334FFC"/>
    <w:rsid w:val="25C1725E"/>
    <w:rsid w:val="265B5142"/>
    <w:rsid w:val="26D94133"/>
    <w:rsid w:val="26E60F2F"/>
    <w:rsid w:val="2777171F"/>
    <w:rsid w:val="28374BF9"/>
    <w:rsid w:val="283F0D7D"/>
    <w:rsid w:val="29F17A79"/>
    <w:rsid w:val="2B725AF5"/>
    <w:rsid w:val="2BEF7F49"/>
    <w:rsid w:val="2DB25B9A"/>
    <w:rsid w:val="2E8A5DA3"/>
    <w:rsid w:val="2EE94141"/>
    <w:rsid w:val="310F3168"/>
    <w:rsid w:val="3111239B"/>
    <w:rsid w:val="34144A6C"/>
    <w:rsid w:val="355A7EE2"/>
    <w:rsid w:val="355D1A20"/>
    <w:rsid w:val="380541CD"/>
    <w:rsid w:val="386B0540"/>
    <w:rsid w:val="38A731BC"/>
    <w:rsid w:val="38AB0E58"/>
    <w:rsid w:val="3971572F"/>
    <w:rsid w:val="3A4A0CD0"/>
    <w:rsid w:val="3AF143FE"/>
    <w:rsid w:val="3B164258"/>
    <w:rsid w:val="3D8E4D06"/>
    <w:rsid w:val="3EC15C04"/>
    <w:rsid w:val="41BA47D3"/>
    <w:rsid w:val="42523FFF"/>
    <w:rsid w:val="43080D36"/>
    <w:rsid w:val="43C4124C"/>
    <w:rsid w:val="449137C4"/>
    <w:rsid w:val="44B65B7C"/>
    <w:rsid w:val="47107A2C"/>
    <w:rsid w:val="475C3C80"/>
    <w:rsid w:val="47B02837"/>
    <w:rsid w:val="49881965"/>
    <w:rsid w:val="4A797DE0"/>
    <w:rsid w:val="4A9C14F9"/>
    <w:rsid w:val="4B701D22"/>
    <w:rsid w:val="4D51269A"/>
    <w:rsid w:val="50245397"/>
    <w:rsid w:val="515D3F71"/>
    <w:rsid w:val="535011CF"/>
    <w:rsid w:val="539469DF"/>
    <w:rsid w:val="55641C22"/>
    <w:rsid w:val="56037565"/>
    <w:rsid w:val="563755DA"/>
    <w:rsid w:val="56EE7B37"/>
    <w:rsid w:val="57576CA1"/>
    <w:rsid w:val="57582925"/>
    <w:rsid w:val="57705501"/>
    <w:rsid w:val="5AA9367B"/>
    <w:rsid w:val="5C7B276E"/>
    <w:rsid w:val="5F5A15AE"/>
    <w:rsid w:val="5FEE3306"/>
    <w:rsid w:val="61033D11"/>
    <w:rsid w:val="61B7275D"/>
    <w:rsid w:val="621A0BB0"/>
    <w:rsid w:val="62341F48"/>
    <w:rsid w:val="636724EC"/>
    <w:rsid w:val="63A11840"/>
    <w:rsid w:val="66095259"/>
    <w:rsid w:val="685B4774"/>
    <w:rsid w:val="6A524E2D"/>
    <w:rsid w:val="6B5B0D2F"/>
    <w:rsid w:val="6C790329"/>
    <w:rsid w:val="6CE84093"/>
    <w:rsid w:val="6EF20EA0"/>
    <w:rsid w:val="6EFB604C"/>
    <w:rsid w:val="6F2B728F"/>
    <w:rsid w:val="70886160"/>
    <w:rsid w:val="71E3174B"/>
    <w:rsid w:val="73F12BC9"/>
    <w:rsid w:val="74745C26"/>
    <w:rsid w:val="74BA710A"/>
    <w:rsid w:val="77E77D4F"/>
    <w:rsid w:val="79776DF8"/>
    <w:rsid w:val="7AF60381"/>
    <w:rsid w:val="7C1B42AF"/>
    <w:rsid w:val="7C6F5C44"/>
    <w:rsid w:val="7C9F0813"/>
    <w:rsid w:val="7D13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ind w:firstLine="600" w:firstLineChars="200"/>
      <w:jc w:val="both"/>
    </w:pPr>
    <w:rPr>
      <w:rFonts w:ascii="仿宋_GB2312" w:hAnsi="仿宋_GB2312" w:eastAsia="仿宋_GB2312" w:cs="Times New Roman"/>
      <w:kern w:val="2"/>
      <w:sz w:val="32"/>
      <w:szCs w:val="32"/>
      <w:lang w:val="en-US" w:eastAsia="zh-CN" w:bidi="ar-SA"/>
    </w:rPr>
  </w:style>
  <w:style w:type="paragraph" w:styleId="4">
    <w:name w:val="heading 1"/>
    <w:basedOn w:val="1"/>
    <w:next w:val="1"/>
    <w:link w:val="21"/>
    <w:qFormat/>
    <w:uiPriority w:val="0"/>
    <w:pPr>
      <w:keepNext/>
      <w:keepLines/>
      <w:numPr>
        <w:ilvl w:val="0"/>
        <w:numId w:val="1"/>
      </w:numPr>
      <w:tabs>
        <w:tab w:val="left" w:pos="0"/>
      </w:tabs>
      <w:spacing w:line="360" w:lineRule="auto"/>
      <w:jc w:val="center"/>
      <w:outlineLvl w:val="0"/>
    </w:pPr>
    <w:rPr>
      <w:rFonts w:ascii="Calibri" w:hAnsi="Calibri" w:eastAsia="宋体"/>
      <w:b/>
      <w:kern w:val="44"/>
      <w:sz w:val="44"/>
    </w:rPr>
  </w:style>
  <w:style w:type="paragraph" w:styleId="5">
    <w:name w:val="heading 2"/>
    <w:basedOn w:val="1"/>
    <w:next w:val="1"/>
    <w:link w:val="20"/>
    <w:semiHidden/>
    <w:unhideWhenUsed/>
    <w:qFormat/>
    <w:uiPriority w:val="0"/>
    <w:pPr>
      <w:keepNext/>
      <w:keepLines/>
      <w:numPr>
        <w:ilvl w:val="1"/>
        <w:numId w:val="1"/>
      </w:numPr>
      <w:spacing w:before="260" w:after="260" w:line="412" w:lineRule="auto"/>
      <w:ind w:left="993"/>
      <w:jc w:val="left"/>
      <w:outlineLvl w:val="1"/>
    </w:pPr>
    <w:rPr>
      <w:rFonts w:ascii="Arial" w:hAnsi="Arial" w:eastAsia="宋体" w:cs="Times New Roman"/>
      <w:b/>
      <w:bCs/>
      <w:sz w:val="28"/>
      <w:szCs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993" w:firstLine="400"/>
      <w:outlineLvl w:val="2"/>
    </w:pPr>
    <w:rPr>
      <w:b/>
      <w:sz w:val="32"/>
    </w:rPr>
  </w:style>
  <w:style w:type="character" w:default="1" w:styleId="18">
    <w:name w:val="Default Paragraph Font"/>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1"/>
    <w:autoRedefine/>
    <w:qFormat/>
    <w:uiPriority w:val="0"/>
    <w:pPr>
      <w:autoSpaceDE w:val="0"/>
      <w:autoSpaceDN w:val="0"/>
      <w:jc w:val="left"/>
    </w:pPr>
    <w:rPr>
      <w:rFonts w:hint="eastAsia" w:ascii="宋体" w:eastAsia="宋体" w:cs="Times New Roman"/>
      <w:color w:val="000000"/>
      <w:kern w:val="0"/>
      <w:sz w:val="24"/>
    </w:rPr>
  </w:style>
  <w:style w:type="paragraph" w:customStyle="1" w:styleId="3">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styleId="7">
    <w:name w:val="annotation text"/>
    <w:basedOn w:val="1"/>
    <w:autoRedefine/>
    <w:semiHidden/>
    <w:qFormat/>
    <w:uiPriority w:val="0"/>
    <w:pPr>
      <w:jc w:val="left"/>
    </w:pPr>
    <w:rPr>
      <w:kern w:val="0"/>
      <w:sz w:val="24"/>
      <w:szCs w:val="20"/>
    </w:rPr>
  </w:style>
  <w:style w:type="paragraph" w:styleId="8">
    <w:name w:val="Body Text"/>
    <w:basedOn w:val="1"/>
    <w:next w:val="9"/>
    <w:qFormat/>
    <w:uiPriority w:val="0"/>
    <w:rPr>
      <w:sz w:val="28"/>
    </w:rPr>
  </w:style>
  <w:style w:type="paragraph" w:styleId="9">
    <w:name w:val="toc 1"/>
    <w:basedOn w:val="1"/>
    <w:next w:val="1"/>
    <w:qFormat/>
    <w:uiPriority w:val="0"/>
  </w:style>
  <w:style w:type="paragraph" w:styleId="10">
    <w:name w:val="List Bullet 5"/>
    <w:basedOn w:val="1"/>
    <w:qFormat/>
    <w:uiPriority w:val="0"/>
    <w:pPr>
      <w:numPr>
        <w:ilvl w:val="0"/>
        <w:numId w:val="2"/>
      </w:numPr>
    </w:pPr>
  </w:style>
  <w:style w:type="paragraph" w:styleId="11">
    <w:name w:val="Date"/>
    <w:basedOn w:val="1"/>
    <w:next w:val="1"/>
    <w:qFormat/>
    <w:uiPriority w:val="0"/>
    <w:pPr>
      <w:ind w:leftChars="2500"/>
    </w:pPr>
    <w:rPr>
      <w:rFonts w:eastAsia="仿宋_GB2312"/>
      <w:sz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autoRedefine/>
    <w:qFormat/>
    <w:uiPriority w:val="0"/>
    <w:pPr>
      <w:snapToGrid w:val="0"/>
      <w:jc w:val="left"/>
    </w:pPr>
    <w:rPr>
      <w:sz w:val="18"/>
    </w:rPr>
  </w:style>
  <w:style w:type="paragraph" w:styleId="15">
    <w:name w:val="toc 2"/>
    <w:basedOn w:val="1"/>
    <w:next w:val="1"/>
    <w:qFormat/>
    <w:uiPriority w:val="0"/>
    <w:pPr>
      <w:ind w:left="420" w:leftChars="200"/>
    </w:pPr>
  </w:style>
  <w:style w:type="table" w:styleId="17">
    <w:name w:val="Table Grid"/>
    <w:basedOn w:val="16"/>
    <w:autoRedefine/>
    <w:qFormat/>
    <w:uiPriority w:val="39"/>
    <w:rPr>
      <w:rFonts w:ascii="Times New Roman" w:hAnsi="Times New Roman" w:eastAsia="宋体"/>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Pr>
    <w:tblStylePr w:type="firstRow">
      <w:tblPr/>
      <w:trPr>
        <w:tblHeader/>
      </w:trPr>
      <w:tcPr>
        <w:shd w:val="clear" w:color="auto" w:fill="D8D8D8" w:themeFill="background1" w:themeFillShade="D9"/>
      </w:tcPr>
    </w:tblStylePr>
  </w:style>
  <w:style w:type="paragraph" w:customStyle="1" w:styleId="19">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character" w:customStyle="1" w:styleId="20">
    <w:name w:val="标题 2 Char"/>
    <w:link w:val="5"/>
    <w:qFormat/>
    <w:locked/>
    <w:uiPriority w:val="99"/>
    <w:rPr>
      <w:rFonts w:ascii="Arial" w:hAnsi="Arial" w:eastAsia="宋体" w:cs="Times New Roman"/>
      <w:b/>
      <w:bCs/>
      <w:sz w:val="28"/>
      <w:szCs w:val="32"/>
    </w:rPr>
  </w:style>
  <w:style w:type="character" w:customStyle="1" w:styleId="21">
    <w:name w:val="标题 1 Char"/>
    <w:link w:val="4"/>
    <w:autoRedefine/>
    <w:qFormat/>
    <w:locked/>
    <w:uiPriority w:val="99"/>
    <w:rPr>
      <w:rFonts w:ascii="Calibri" w:hAnsi="Calibri" w:eastAsia="宋体"/>
      <w:b/>
      <w:kern w:val="44"/>
      <w:sz w:val="44"/>
      <w:szCs w:val="24"/>
      <w:lang w:bidi="ar-SA"/>
    </w:rPr>
  </w:style>
  <w:style w:type="paragraph" w:customStyle="1" w:styleId="22">
    <w:name w:val="环保表内字（小五）"/>
    <w:basedOn w:val="23"/>
    <w:autoRedefine/>
    <w:qFormat/>
    <w:uiPriority w:val="0"/>
    <w:pPr>
      <w:adjustRightInd w:val="0"/>
      <w:snapToGrid w:val="0"/>
      <w:jc w:val="center"/>
    </w:pPr>
    <w:rPr>
      <w:rFonts w:ascii="宋体" w:hAnsi="宋体"/>
      <w:snapToGrid w:val="0"/>
      <w:sz w:val="18"/>
      <w:szCs w:val="20"/>
    </w:rPr>
  </w:style>
  <w:style w:type="paragraph" w:customStyle="1" w:styleId="23">
    <w:name w:val="环保表内字（五号）"/>
    <w:basedOn w:val="1"/>
    <w:qFormat/>
    <w:uiPriority w:val="0"/>
    <w:pPr>
      <w:adjustRightInd w:val="0"/>
      <w:snapToGrid w:val="0"/>
      <w:spacing w:line="0" w:lineRule="atLeast"/>
      <w:jc w:val="left"/>
    </w:pPr>
    <w:rPr>
      <w:snapToGrid w:val="0"/>
      <w:kern w:val="0"/>
      <w:szCs w:val="20"/>
    </w:rPr>
  </w:style>
  <w:style w:type="paragraph" w:customStyle="1" w:styleId="24">
    <w:name w:val="正文文本1"/>
    <w:basedOn w:val="1"/>
    <w:autoRedefine/>
    <w:qFormat/>
    <w:uiPriority w:val="0"/>
    <w:pPr>
      <w:spacing w:line="500" w:lineRule="exact"/>
    </w:pPr>
    <w:rPr>
      <w:rFonts w:ascii="宋体" w:hAnsi="宋体"/>
      <w:sz w:val="28"/>
    </w:rPr>
  </w:style>
  <w:style w:type="paragraph" w:customStyle="1" w:styleId="25">
    <w:name w:val="环保-正文内容"/>
    <w:basedOn w:val="1"/>
    <w:next w:val="1"/>
    <w:qFormat/>
    <w:uiPriority w:val="0"/>
    <w:pPr>
      <w:keepNext w:val="0"/>
      <w:keepLines w:val="0"/>
      <w:widowControl w:val="0"/>
      <w:suppressLineNumbers w:val="0"/>
      <w:adjustRightInd w:val="0"/>
      <w:snapToGrid w:val="0"/>
      <w:spacing w:before="0" w:beforeAutospacing="0" w:after="0" w:afterAutospacing="0" w:line="360" w:lineRule="auto"/>
      <w:ind w:left="0" w:right="0" w:firstLine="200" w:firstLineChars="200"/>
      <w:jc w:val="both"/>
    </w:pPr>
    <w:rPr>
      <w:rFonts w:ascii="Times New Roman" w:hAnsi="Times New Roman" w:eastAsia="宋体" w:cs="宋体"/>
      <w:sz w:val="24"/>
      <w:lang w:bidi="ar"/>
    </w:rPr>
  </w:style>
  <w:style w:type="paragraph" w:customStyle="1" w:styleId="26">
    <w:name w:val="评估意见正文内容"/>
    <w:basedOn w:val="1"/>
    <w:qFormat/>
    <w:uiPriority w:val="0"/>
    <w:pPr>
      <w:spacing w:line="580" w:lineRule="exact"/>
      <w:ind w:firstLine="640" w:firstLineChars="200"/>
    </w:pPr>
    <w:rPr>
      <w:rFonts w:ascii="仿宋_GB2312" w:hAnsi="宋体" w:eastAsia="仿宋_GB2312"/>
      <w:bCs/>
      <w:sz w:val="32"/>
      <w:szCs w:val="2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2750</Words>
  <Characters>2943</Characters>
  <Lines>0</Lines>
  <Paragraphs>0</Paragraphs>
  <TotalTime>119</TotalTime>
  <ScaleCrop>false</ScaleCrop>
  <LinksUpToDate>false</LinksUpToDate>
  <CharactersWithSpaces>2954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2022-08-19T03:38:00Z</dcterms:created>
  <dc:creator>优印图文1</dc:creator>
  <cp:lastModifiedBy>W琪</cp:lastModifiedBy>
  <cp:lastPrinted>2025-04-10T05:36:24Z</cp:lastPrinted>
  <dcterms:modified xsi:type="dcterms:W3CDTF">2025-04-10T05:53:09Z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9589DA604C6F422CB876BD395647D1D6_13</vt:lpwstr>
  </property>
  <property fmtid="{D5CDD505-2E9C-101B-9397-08002B2CF9AE}" pid="4" name="KSOTemplateDocerSaveRecord">
    <vt:lpwstr>eyJoZGlkIjoiMDc5MzViOWI5ODMxNmU1MjFmZjY5NjVlZTE5M2Q2YjUiLCJ1c2VySWQiOiIzNDEzNjc4NTYifQ==</vt:lpwstr>
  </property>
</Properties>
</file>