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A68A">
      <w:pPr>
        <w:ind w:left="0" w:leftChars="0" w:firstLine="0" w:firstLineChars="0"/>
        <w:rPr>
          <w:rFonts w:hint="eastAsia" w:eastAsia="仿宋_GB2312"/>
          <w:sz w:val="32"/>
          <w:lang w:val="en-US" w:eastAsia="zh-CN"/>
        </w:rPr>
      </w:pPr>
    </w:p>
    <w:p w14:paraId="77C4D31A">
      <w:pPr>
        <w:bidi w:val="0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11392D1C">
      <w:pPr>
        <w:bidi w:val="0"/>
        <w:rPr>
          <w:rFonts w:hint="eastAsia"/>
          <w:lang w:val="en-US" w:eastAsia="zh-CN"/>
        </w:rPr>
      </w:pPr>
    </w:p>
    <w:p w14:paraId="38EBD69D">
      <w:pPr>
        <w:bidi w:val="0"/>
        <w:rPr>
          <w:rFonts w:hint="eastAsia"/>
          <w:lang w:val="en-US" w:eastAsia="zh-CN"/>
        </w:rPr>
      </w:pPr>
    </w:p>
    <w:p w14:paraId="44954A7F">
      <w:pPr>
        <w:bidi w:val="0"/>
        <w:rPr>
          <w:rFonts w:hint="eastAsia"/>
          <w:lang w:val="en-US" w:eastAsia="zh-CN"/>
        </w:rPr>
      </w:pPr>
    </w:p>
    <w:p w14:paraId="1DC0DB27">
      <w:pPr>
        <w:bidi w:val="0"/>
        <w:rPr>
          <w:rFonts w:hint="eastAsia"/>
          <w:lang w:val="en-US" w:eastAsia="zh-CN"/>
        </w:rPr>
      </w:pPr>
    </w:p>
    <w:p w14:paraId="1CEBAE0C">
      <w:pPr>
        <w:bidi w:val="0"/>
        <w:rPr>
          <w:rFonts w:hint="eastAsia"/>
          <w:lang w:val="en-US" w:eastAsia="zh-CN"/>
        </w:rPr>
      </w:pPr>
    </w:p>
    <w:p w14:paraId="5F4EEF7E">
      <w:pPr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 w14:paraId="410B65C5">
      <w:pPr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吉市（龙）环建（表）字〔20</w:t>
      </w:r>
      <w:r>
        <w:rPr>
          <w:rFonts w:hint="eastAsia" w:cs="仿宋_GB2312"/>
          <w:spacing w:val="-2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〕</w:t>
      </w:r>
      <w:r>
        <w:rPr>
          <w:rFonts w:hint="eastAsia" w:cs="仿宋_GB2312"/>
          <w:spacing w:val="-2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</w:t>
      </w:r>
    </w:p>
    <w:p w14:paraId="517D7477">
      <w:pPr>
        <w:bidi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 w14:paraId="44FAB312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2"/>
          <w:sz w:val="44"/>
          <w:szCs w:val="44"/>
          <w:lang w:val="en-US" w:eastAsia="zh-CN" w:bidi="ar-SA"/>
        </w:rPr>
        <w:t>关于</w:t>
      </w:r>
      <w:bookmarkStart w:id="0" w:name="OLE_LINK9"/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2"/>
          <w:sz w:val="44"/>
          <w:szCs w:val="44"/>
          <w:lang w:val="en-US" w:eastAsia="zh-CN" w:bidi="ar-SA"/>
        </w:rPr>
        <w:t>棋盘站扩能改造工程（Ⅳ场改建）项目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2"/>
          <w:sz w:val="44"/>
          <w:szCs w:val="44"/>
          <w:lang w:val="en-US" w:eastAsia="zh-CN" w:bidi="ar-SA"/>
        </w:rPr>
        <w:t xml:space="preserve">  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2"/>
          <w:sz w:val="44"/>
          <w:szCs w:val="44"/>
          <w:lang w:val="en-US" w:eastAsia="zh-CN" w:bidi="ar-SA"/>
        </w:rPr>
        <w:t xml:space="preserve">   环境影响报告表的批复</w:t>
      </w:r>
    </w:p>
    <w:p w14:paraId="6D12A0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中国铁路沈阳局集团有限公司长春工程建设指挥部 ： </w:t>
      </w:r>
    </w:p>
    <w:p w14:paraId="4EF8D7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你单位《关于对〈棋盘站扩能改造工程（</w:t>
      </w:r>
      <w:r>
        <w:rPr>
          <w:rFonts w:hint="eastAsia" w:cs="仿宋_GB2312"/>
          <w:szCs w:val="21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场改建）项目环境影响报告表〉审查的申请》和委托吉林省卓月环境工程有限公司编制的《棋盘站扩能改造工程（</w:t>
      </w:r>
      <w:r>
        <w:rPr>
          <w:rFonts w:hint="eastAsia" w:cs="仿宋_GB2312"/>
          <w:szCs w:val="21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场改建）项目环境影响报告表》（报批版）收悉。经研究，现批复如下：　 </w:t>
      </w:r>
    </w:p>
    <w:p w14:paraId="726ADD1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szCs w:val="21"/>
          <w:lang w:val="en-US" w:eastAsia="zh-CN"/>
        </w:rPr>
        <w:t>棋盘站拟建工程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位于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吉林省吉林市龙潭区江北乡哈达村北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，本项目在既有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场10道外侧新增1条到发线（11道），与既有10道线间距5m，有效长为981m，同时改建10道铁路线，改建后有效长为981m。</w:t>
      </w:r>
    </w:p>
    <w:p w14:paraId="4399D0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主体工程：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新建11道线，改建10道线；改造Ⅳ场舒兰侧咽喉区、驼峰侧咽喉区道岔设置，并设置计算机联锁设备；排迁受本项目影响的既有通信光电缆线路、现有灯塔电源电缆；11道外侧新设1条浆砌片石排水沟。环保工程：设声屏障。公用工程等依托现有。本项目劳动定员20人，分</w:t>
      </w:r>
      <w:r>
        <w:rPr>
          <w:rFonts w:hint="eastAsia" w:cs="仿宋_GB2312"/>
          <w:lang w:val="en-US" w:eastAsia="zh-CN"/>
        </w:rPr>
        <w:t>批执行二、三、四班制，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cs="仿宋_GB2312"/>
          <w:lang w:val="en-US" w:eastAsia="zh-CN"/>
        </w:rPr>
        <w:t>运营360</w:t>
      </w:r>
      <w:r>
        <w:rPr>
          <w:rFonts w:hint="eastAsia" w:ascii="仿宋_GB2312" w:hAnsi="仿宋_GB2312" w:eastAsia="仿宋_GB2312" w:cs="仿宋_GB2312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。占地面积约21000m</w:t>
      </w:r>
      <w:r>
        <w:rPr>
          <w:rFonts w:hint="eastAsia" w:cs="仿宋_GB2312"/>
          <w:color w:val="auto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cs="仿宋_GB2312"/>
          <w:lang w:eastAsia="zh-CN"/>
        </w:rPr>
        <w:t>，</w:t>
      </w:r>
      <w:r>
        <w:rPr>
          <w:rFonts w:hint="eastAsia" w:cs="仿宋_GB2312"/>
          <w:lang w:val="en-US" w:eastAsia="zh-CN"/>
        </w:rPr>
        <w:t>本项目运营期无需供暖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。项目总投资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794.7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万元，其中环保投资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315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据环境影响报告表评价结论和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技术评估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见，严格落实环境影响报告表提出的各项环境保护和环境风险防控措施。我局原则同意建设单位按照环评报告及下述要求进行项目建设。该项目环境影响报告表（报批版）可以作为环保设计及其建成后环境管理依据。</w:t>
      </w:r>
    </w:p>
    <w:p w14:paraId="5DBA5B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二、项目建设应重点做好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以下工作：</w:t>
      </w:r>
    </w:p>
    <w:p w14:paraId="0BDB4F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1、加强建设期环境管理。施工期含泥污水经施工场地内临时沉淀池沉淀后循环使用，不外排。施工现场设置装配式材料围蔽或围挡，现场及道路洒水降尘后维护清扫,建筑材料密闭存储，产尘物料采用防风、防雨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建筑垃圾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运至建筑垃圾指定堆放点，运输车辆采取苫盖措施。施工车辆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行驶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应尽量避开振动敏感区域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选择低噪声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机械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，合理布局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；燃油机械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排气消声器和隔离发动机振动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影响措施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；午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（12:00~14:00）和夜间（22:00~6:00）不得施工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重型运载车辆的运行路线应尽量避开噪声敏感区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，禁止鸣笛。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加强管理，控制施工期噪声符合《建筑施工场界环境噪声排放标准》（GB12523-2011）要求，将项目建设对外界环境影响降至最低。落实施工期的各项污染防治措施，防止发生环境污染和扰民事件。</w:t>
      </w:r>
    </w:p>
    <w:p w14:paraId="48790F64">
      <w:pPr>
        <w:pStyle w:val="27"/>
        <w:keepNext w:val="0"/>
        <w:keepLines w:val="0"/>
        <w:pageBreakBefore w:val="0"/>
        <w:kinsoku/>
        <w:overflowPunct/>
        <w:topLinePunct/>
        <w:bidi w:val="0"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本项目施工活动对区域生态环境的影响主要为扰动原地貌、损坏土地。严格控制施工作业范围，选择环境要求较低的位置作为固定制作作业场地，临时占地尽量选择植被覆盖较少的空地；严禁随意倾倒废物；填挖土方过程建立复式挡土墙，挖截排水沟，土方临时堆场采取防风、防雨措施，施工结束后，对临时占地进行植被恢复，站场边界绿化，尽可能降低生态环境影响。</w:t>
      </w:r>
    </w:p>
    <w:p w14:paraId="485BE9A2">
      <w:pPr>
        <w:pStyle w:val="25"/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3、本项目无新增生活污水，无生产废水排放。</w:t>
      </w:r>
    </w:p>
    <w:p w14:paraId="064967F9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4、本项目运营期产生的废气主要为列车尾气及少量扬尘。内燃机车使用轻质柴油，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货物运输车厢采取密闭措施。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加强管理，确保废气排放浓度满足《大气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污染物综合排放标准》（GB16297-1996）中无组织排放监控浓度限值要求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326FB18C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格交通管制，在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经过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道路两侧敏感区域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禁止鸣笛，控制车速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设置禁止鸣笛标志；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在铁路干线和环境敏感目标之间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，距轨道中心线4m处设置一道长度为400m、高度为3m的声屏障。加强管理，确保铁路干线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两侧区域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声环境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功能区划分满足《声环境功能区划分》（GB/T 15190—2014），声环境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质量满足《声环境质量标准》（GB3096-2008）中2类、4b类标准要求。</w:t>
      </w:r>
    </w:p>
    <w:p w14:paraId="74ED23CC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采用减轻车辆自重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，加强轮轨的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维护保养，确保铁路周边环境敏感目标处铅锤向Z振级满足《城市区域环境振动标准》（GB1007-88）中“混合区、商业中心区”要求。</w:t>
      </w:r>
    </w:p>
    <w:p w14:paraId="6D5B5941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本项目运营期无新增生活垃圾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，无其他固废产生。</w:t>
      </w:r>
    </w:p>
    <w:p w14:paraId="00E3AD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、严格落实环评报告中的风险防范和应急措施。制定污染事故防范和处理应急预案，提高事故风险防范和污染控制能力。定期进行演练及环境安全隐患排查，增强员工的环境风险防范意识，杜绝环境风险事故发生。</w:t>
      </w:r>
    </w:p>
    <w:p w14:paraId="46E824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9、企业应按照相关要求落实监测计划。</w:t>
      </w:r>
    </w:p>
    <w:p w14:paraId="51F51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三、建设项目的环境影响评价文件经批准后，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重新审核。</w:t>
      </w:r>
    </w:p>
    <w:p w14:paraId="47F6C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四、有机衔接环境影响评价与排污许可证申领。按照《排污许可管理办法》的要求，项目在启动生产设施或者在实际排污之前，申请并领取排污许可证，要将经批准的环境影响评价文件中各项环境保护措施、污染物排放清单及其他有关内容载入排污许可证，并按证排污。</w:t>
      </w:r>
    </w:p>
    <w:p w14:paraId="2E0B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五、项目建设要严格执行配套建设的环境保护设施与主体工程同时设计、同时施工、同时投入使用的环境保护“三同时”制度。项目竣工后，建设单位按规定程序进行环保设施竣工验收。验收合格后，项目方可正式投入运行。</w:t>
      </w:r>
    </w:p>
    <w:p w14:paraId="1B445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六、由吉林市生态环境保护综合行政执法支队龙潭大队负责按照《建设项目环境保护事中事后监督管理办法（试行）》（环发〔2015〕163号）的规定，进行本建设项目事中事后的环境监督管理工作。</w:t>
      </w:r>
    </w:p>
    <w:p w14:paraId="0ABF153B">
      <w:pPr>
        <w:pStyle w:val="6"/>
        <w:keepNext w:val="0"/>
        <w:keepLines w:val="0"/>
        <w:pageBreakBefore w:val="0"/>
        <w:kinsoku/>
        <w:overflowPunct/>
        <w:bidi w:val="0"/>
        <w:snapToGrid/>
        <w:spacing w:line="480" w:lineRule="exact"/>
        <w:textAlignment w:val="auto"/>
        <w:rPr>
          <w:rFonts w:hint="eastAsia"/>
          <w:lang w:eastAsia="zh-CN"/>
        </w:rPr>
      </w:pPr>
    </w:p>
    <w:p w14:paraId="2454CE19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napToGrid/>
        <w:spacing w:line="480" w:lineRule="exact"/>
        <w:ind w:leftChars="200"/>
        <w:textAlignment w:val="auto"/>
        <w:rPr>
          <w:rFonts w:hint="eastAsia"/>
          <w:lang w:eastAsia="zh-CN"/>
        </w:rPr>
      </w:pPr>
    </w:p>
    <w:p w14:paraId="17753181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napToGrid/>
        <w:spacing w:line="480" w:lineRule="exact"/>
        <w:ind w:leftChars="200"/>
        <w:textAlignment w:val="auto"/>
        <w:rPr>
          <w:rFonts w:hint="eastAsia"/>
          <w:lang w:eastAsia="zh-CN"/>
        </w:rPr>
      </w:pPr>
    </w:p>
    <w:p w14:paraId="7CDFE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吉林市生态环境局</w:t>
      </w:r>
    </w:p>
    <w:p w14:paraId="7E14D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cs="仿宋_GB2312"/>
          <w:sz w:val="32"/>
          <w:szCs w:val="32"/>
          <w:lang w:val="en-US" w:eastAsia="zh-CN"/>
        </w:rPr>
        <w:t>5月23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cs="仿宋_GB2312"/>
          <w:sz w:val="32"/>
          <w:szCs w:val="32"/>
          <w:lang w:val="en-US" w:eastAsia="zh-CN"/>
        </w:rPr>
        <w:t xml:space="preserve">        </w:t>
      </w:r>
    </w:p>
    <w:tbl>
      <w:tblPr>
        <w:tblStyle w:val="16"/>
        <w:tblpPr w:vertAnchor="page" w:horzAnchor="page" w:tblpX="1522" w:tblpY="14197"/>
        <w:tblOverlap w:val="never"/>
        <w:tblW w:w="8861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30"/>
        <w:gridCol w:w="4431"/>
      </w:tblGrid>
      <w:tr w14:paraId="7E2367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Header/>
        </w:trPr>
        <w:tc>
          <w:tcPr>
            <w:tcW w:w="8861" w:type="dxa"/>
            <w:gridSpan w:val="2"/>
            <w:shd w:val="clear" w:color="auto" w:fill="auto"/>
          </w:tcPr>
          <w:p w14:paraId="356620AF">
            <w:pPr>
              <w:ind w:left="1160" w:leftChars="100" w:hanging="840" w:hangingChars="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抄送：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吉林市生态环境保护综合行政执法支队龙潭大队</w:t>
            </w:r>
          </w:p>
        </w:tc>
      </w:tr>
      <w:tr w14:paraId="600F5C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430" w:type="dxa"/>
            <w:shd w:val="clear" w:color="auto" w:fill="auto"/>
          </w:tcPr>
          <w:p w14:paraId="23959F85">
            <w:pPr>
              <w:ind w:left="0" w:leftChars="0" w:firstLine="280" w:firstLineChars="10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吉林市生态环境局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5622290" cy="0"/>
                      <wp:effectExtent l="0" t="4445" r="0" b="50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22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pt;margin-top:0.45pt;height:0pt;width:442.7pt;z-index:251660288;mso-width-relative:page;mso-height-relative:page;" filled="f" stroked="t" coordsize="21600,21600" o:gfxdata="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jzS+NAAAAADAQAADwAAAAAA&#10;AAABACAAAAAiAAAAZHJzL2Rvd25yZXYueG1sUEsBAhQAFAAAAAgAh07iQEbxpi3iAQAAsQMAAA4A&#10;AAAAAAAAAQAgAAAAHwEAAGRycy9lMm9Eb2MueG1sUEsFBgAAAAAGAAYAWQEAAHM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431" w:type="dxa"/>
            <w:shd w:val="clear" w:color="auto" w:fill="auto"/>
          </w:tcPr>
          <w:p w14:paraId="1F23576B">
            <w:pPr>
              <w:ind w:right="32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1E0616B6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76A12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F1EA8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5F1EA8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31924"/>
    <w:multiLevelType w:val="singleLevel"/>
    <w:tmpl w:val="01F31924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73E381FC"/>
    <w:multiLevelType w:val="multilevel"/>
    <w:tmpl w:val="73E381FC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993"/>
        </w:tabs>
        <w:ind w:left="993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993" w:firstLine="0"/>
      </w:pPr>
      <w:rPr>
        <w:rFonts w:hint="eastAsia" w:ascii="仿宋" w:hAnsi="仿宋" w:eastAsia="仿宋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993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1017" w:firstLine="402"/>
      </w:pPr>
      <w:rPr>
        <w:rFonts w:hint="eastAsia" w:ascii="宋体" w:hAnsi="宋体" w:eastAsia="宋体" w:cs="宋体"/>
        <w:lang w:val="en-US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993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993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993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993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993" w:firstLine="402"/>
      </w:pPr>
      <w:rPr>
        <w:rFonts w:hint="eastAsia"/>
      </w:rPr>
    </w:lvl>
  </w:abstractNum>
  <w:abstractNum w:abstractNumId="2">
    <w:nsid w:val="77785F88"/>
    <w:multiLevelType w:val="singleLevel"/>
    <w:tmpl w:val="77785F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TIyMzMxMGUyZGRiNjRkMDExZjZjMjcxNWM0YmQifQ=="/>
  </w:docVars>
  <w:rsids>
    <w:rsidRoot w:val="535011CF"/>
    <w:rsid w:val="01215C29"/>
    <w:rsid w:val="0266438F"/>
    <w:rsid w:val="02E46937"/>
    <w:rsid w:val="030B6161"/>
    <w:rsid w:val="05BE15CC"/>
    <w:rsid w:val="07264286"/>
    <w:rsid w:val="07542310"/>
    <w:rsid w:val="07DC57B4"/>
    <w:rsid w:val="08607EC0"/>
    <w:rsid w:val="08EA2658"/>
    <w:rsid w:val="09864BCA"/>
    <w:rsid w:val="0A094D1A"/>
    <w:rsid w:val="0C7236B3"/>
    <w:rsid w:val="0D832131"/>
    <w:rsid w:val="0DB06FB5"/>
    <w:rsid w:val="0E102B78"/>
    <w:rsid w:val="0F062414"/>
    <w:rsid w:val="0F4C6BFF"/>
    <w:rsid w:val="0F5A60C4"/>
    <w:rsid w:val="0F914A2F"/>
    <w:rsid w:val="0FE15608"/>
    <w:rsid w:val="116E69B0"/>
    <w:rsid w:val="121B3756"/>
    <w:rsid w:val="12270675"/>
    <w:rsid w:val="130E72C8"/>
    <w:rsid w:val="14311A36"/>
    <w:rsid w:val="14485080"/>
    <w:rsid w:val="14F05B14"/>
    <w:rsid w:val="1529088D"/>
    <w:rsid w:val="15D37529"/>
    <w:rsid w:val="160B1746"/>
    <w:rsid w:val="18381EC3"/>
    <w:rsid w:val="184419B1"/>
    <w:rsid w:val="18527E28"/>
    <w:rsid w:val="18F32D36"/>
    <w:rsid w:val="19D8137C"/>
    <w:rsid w:val="1A445BA3"/>
    <w:rsid w:val="1A50276F"/>
    <w:rsid w:val="1A9A1170"/>
    <w:rsid w:val="1B1F3CE5"/>
    <w:rsid w:val="1CDD0E88"/>
    <w:rsid w:val="1D007D32"/>
    <w:rsid w:val="1D093E4D"/>
    <w:rsid w:val="1DEE4491"/>
    <w:rsid w:val="1F196F14"/>
    <w:rsid w:val="1F30765A"/>
    <w:rsid w:val="1F560908"/>
    <w:rsid w:val="1F820CFB"/>
    <w:rsid w:val="1FEB0348"/>
    <w:rsid w:val="2155673D"/>
    <w:rsid w:val="217B49B5"/>
    <w:rsid w:val="245931AF"/>
    <w:rsid w:val="25334FFC"/>
    <w:rsid w:val="265B261C"/>
    <w:rsid w:val="26E60F2F"/>
    <w:rsid w:val="2777171F"/>
    <w:rsid w:val="28374BF9"/>
    <w:rsid w:val="283F0D7D"/>
    <w:rsid w:val="28750C0F"/>
    <w:rsid w:val="29E17ECF"/>
    <w:rsid w:val="29F17A79"/>
    <w:rsid w:val="2BEF7F49"/>
    <w:rsid w:val="2E8A5DA3"/>
    <w:rsid w:val="2EE94141"/>
    <w:rsid w:val="310F3168"/>
    <w:rsid w:val="31CC241B"/>
    <w:rsid w:val="32C24615"/>
    <w:rsid w:val="355A7EE2"/>
    <w:rsid w:val="355D1578"/>
    <w:rsid w:val="355D1A20"/>
    <w:rsid w:val="380541CD"/>
    <w:rsid w:val="38753959"/>
    <w:rsid w:val="38A731BC"/>
    <w:rsid w:val="38AB0E58"/>
    <w:rsid w:val="3971572F"/>
    <w:rsid w:val="398E4E00"/>
    <w:rsid w:val="3A4A0CD0"/>
    <w:rsid w:val="3AC82FFE"/>
    <w:rsid w:val="3AF143FE"/>
    <w:rsid w:val="3B164258"/>
    <w:rsid w:val="3D8E4D06"/>
    <w:rsid w:val="3EC15C04"/>
    <w:rsid w:val="40F33C83"/>
    <w:rsid w:val="44B65B7C"/>
    <w:rsid w:val="45076938"/>
    <w:rsid w:val="45D52E99"/>
    <w:rsid w:val="47107A2C"/>
    <w:rsid w:val="47B02837"/>
    <w:rsid w:val="49881965"/>
    <w:rsid w:val="4A413C1F"/>
    <w:rsid w:val="4A797DE0"/>
    <w:rsid w:val="4A9C14F9"/>
    <w:rsid w:val="4B701D22"/>
    <w:rsid w:val="4C6866A3"/>
    <w:rsid w:val="4CBF67BB"/>
    <w:rsid w:val="510219E5"/>
    <w:rsid w:val="51E676C4"/>
    <w:rsid w:val="535011CF"/>
    <w:rsid w:val="55641C22"/>
    <w:rsid w:val="56353FD8"/>
    <w:rsid w:val="56EE7B37"/>
    <w:rsid w:val="56F561BC"/>
    <w:rsid w:val="57576CA1"/>
    <w:rsid w:val="57582925"/>
    <w:rsid w:val="5B570E5D"/>
    <w:rsid w:val="5DE13458"/>
    <w:rsid w:val="61033D11"/>
    <w:rsid w:val="610E0244"/>
    <w:rsid w:val="61B7275D"/>
    <w:rsid w:val="621A0BB0"/>
    <w:rsid w:val="62341F48"/>
    <w:rsid w:val="6242353D"/>
    <w:rsid w:val="63A11840"/>
    <w:rsid w:val="64B36EE9"/>
    <w:rsid w:val="65517465"/>
    <w:rsid w:val="66095259"/>
    <w:rsid w:val="66732BA5"/>
    <w:rsid w:val="685B4774"/>
    <w:rsid w:val="6A1F439D"/>
    <w:rsid w:val="6A524E2D"/>
    <w:rsid w:val="6B5B0D2F"/>
    <w:rsid w:val="6EFB604C"/>
    <w:rsid w:val="6F2B728F"/>
    <w:rsid w:val="70886160"/>
    <w:rsid w:val="71724535"/>
    <w:rsid w:val="71E3174B"/>
    <w:rsid w:val="72F75E47"/>
    <w:rsid w:val="73F12BC9"/>
    <w:rsid w:val="74BA710A"/>
    <w:rsid w:val="74BF4D8C"/>
    <w:rsid w:val="75B90642"/>
    <w:rsid w:val="75F77879"/>
    <w:rsid w:val="7687606F"/>
    <w:rsid w:val="77E77D4F"/>
    <w:rsid w:val="7841456F"/>
    <w:rsid w:val="78853563"/>
    <w:rsid w:val="79742209"/>
    <w:rsid w:val="7A916D31"/>
    <w:rsid w:val="7B1B4558"/>
    <w:rsid w:val="7C1B42AF"/>
    <w:rsid w:val="7C9F0813"/>
    <w:rsid w:val="7D1363DA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6" w:lineRule="exact"/>
      <w:ind w:firstLine="60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ind w:left="993"/>
      <w:jc w:val="left"/>
      <w:outlineLvl w:val="1"/>
    </w:pPr>
    <w:rPr>
      <w:rFonts w:ascii="Arial" w:hAnsi="Arial" w:eastAsia="宋体" w:cs="Times New Roman"/>
      <w:b/>
      <w:bCs/>
      <w:sz w:val="28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993" w:firstLine="400"/>
      <w:outlineLvl w:val="2"/>
    </w:pPr>
    <w:rPr>
      <w:b/>
      <w:sz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  <w:rPr>
      <w:kern w:val="0"/>
      <w:sz w:val="24"/>
      <w:szCs w:val="20"/>
    </w:rPr>
  </w:style>
  <w:style w:type="paragraph" w:styleId="6">
    <w:name w:val="Body Text"/>
    <w:basedOn w:val="1"/>
    <w:next w:val="7"/>
    <w:autoRedefine/>
    <w:qFormat/>
    <w:uiPriority w:val="0"/>
    <w:rPr>
      <w:sz w:val="28"/>
    </w:rPr>
  </w:style>
  <w:style w:type="paragraph" w:styleId="7">
    <w:name w:val="List Bullet 5"/>
    <w:basedOn w:val="1"/>
    <w:autoRedefine/>
    <w:qFormat/>
    <w:uiPriority w:val="0"/>
    <w:pPr>
      <w:numPr>
        <w:ilvl w:val="0"/>
        <w:numId w:val="2"/>
      </w:numPr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/>
    </w:rPr>
  </w:style>
  <w:style w:type="paragraph" w:styleId="9">
    <w:name w:val="Date"/>
    <w:basedOn w:val="1"/>
    <w:next w:val="1"/>
    <w:autoRedefine/>
    <w:qFormat/>
    <w:uiPriority w:val="0"/>
    <w:pPr>
      <w:ind w:leftChars="2500"/>
    </w:pPr>
    <w:rPr>
      <w:rFonts w:eastAsia="仿宋_GB2312"/>
      <w:sz w:val="3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autoRedefine/>
    <w:qFormat/>
    <w:uiPriority w:val="0"/>
  </w:style>
  <w:style w:type="paragraph" w:styleId="13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4">
    <w:name w:val="toc 2"/>
    <w:basedOn w:val="1"/>
    <w:next w:val="1"/>
    <w:autoRedefine/>
    <w:qFormat/>
    <w:uiPriority w:val="0"/>
    <w:pPr>
      <w:ind w:left="420" w:leftChars="200"/>
    </w:pPr>
  </w:style>
  <w:style w:type="table" w:styleId="16">
    <w:name w:val="Table Grid"/>
    <w:basedOn w:val="15"/>
    <w:autoRedefine/>
    <w:qFormat/>
    <w:uiPriority w:val="39"/>
    <w:rPr>
      <w:rFonts w:ascii="Times New Roman" w:hAnsi="Times New Roman" w:eastAsia="宋体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bottom w:w="57" w:type="dxa"/>
      </w:tblCellMar>
    </w:tblPr>
    <w:tblStylePr w:type="firstRow">
      <w:tblPr/>
      <w:trPr>
        <w:tblHeader/>
      </w:trPr>
      <w:tcPr>
        <w:shd w:val="clear" w:color="auto" w:fill="D8D8D8" w:themeFill="background1" w:themeFillShade="D9"/>
      </w:tcPr>
    </w:tblStylePr>
  </w:style>
  <w:style w:type="paragraph" w:customStyle="1" w:styleId="18">
    <w:name w:val="样式 正文11 + 首行缩进:  2 字符"/>
    <w:basedOn w:val="19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customStyle="1" w:styleId="19">
    <w:name w:val="O.K.1"/>
    <w:basedOn w:val="3"/>
    <w:qFormat/>
    <w:uiPriority w:val="0"/>
    <w:pPr>
      <w:ind w:firstLine="482"/>
    </w:pPr>
  </w:style>
  <w:style w:type="paragraph" w:customStyle="1" w:styleId="20">
    <w:name w:val="Default"/>
    <w:basedOn w:val="21"/>
    <w:next w:val="1"/>
    <w:autoRedefine/>
    <w:qFormat/>
    <w:uiPriority w:val="0"/>
    <w:pPr>
      <w:autoSpaceDE w:val="0"/>
      <w:autoSpaceDN w:val="0"/>
      <w:jc w:val="left"/>
    </w:pPr>
    <w:rPr>
      <w:rFonts w:hint="eastAsia" w:ascii="宋体" w:eastAsia="宋体" w:cs="Times New Roman"/>
      <w:color w:val="000000"/>
      <w:kern w:val="0"/>
      <w:sz w:val="24"/>
    </w:rPr>
  </w:style>
  <w:style w:type="paragraph" w:customStyle="1" w:styleId="21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22">
    <w:name w:val="标题 2 Char"/>
    <w:link w:val="3"/>
    <w:autoRedefine/>
    <w:qFormat/>
    <w:locked/>
    <w:uiPriority w:val="99"/>
    <w:rPr>
      <w:rFonts w:ascii="Arial" w:hAnsi="Arial" w:eastAsia="宋体" w:cs="Times New Roman"/>
      <w:b/>
      <w:bCs/>
      <w:sz w:val="28"/>
      <w:szCs w:val="32"/>
    </w:rPr>
  </w:style>
  <w:style w:type="character" w:customStyle="1" w:styleId="23">
    <w:name w:val="标题 1 Char"/>
    <w:link w:val="2"/>
    <w:autoRedefine/>
    <w:qFormat/>
    <w:locked/>
    <w:uiPriority w:val="99"/>
    <w:rPr>
      <w:rFonts w:ascii="Calibri" w:hAnsi="Calibri" w:eastAsia="宋体"/>
      <w:b/>
      <w:kern w:val="44"/>
      <w:sz w:val="44"/>
      <w:szCs w:val="24"/>
      <w:lang w:bidi="ar-SA"/>
    </w:rPr>
  </w:style>
  <w:style w:type="paragraph" w:customStyle="1" w:styleId="24">
    <w:name w:val="环保表内字（小五）"/>
    <w:basedOn w:val="1"/>
    <w:autoRedefine/>
    <w:qFormat/>
    <w:uiPriority w:val="0"/>
    <w:pPr>
      <w:adjustRightInd w:val="0"/>
      <w:snapToGrid w:val="0"/>
      <w:jc w:val="center"/>
    </w:pPr>
    <w:rPr>
      <w:rFonts w:ascii="宋体" w:hAnsi="宋体"/>
      <w:snapToGrid w:val="0"/>
      <w:sz w:val="18"/>
      <w:szCs w:val="20"/>
    </w:rPr>
  </w:style>
  <w:style w:type="paragraph" w:customStyle="1" w:styleId="25">
    <w:name w:val="正文文本1"/>
    <w:basedOn w:val="1"/>
    <w:autoRedefine/>
    <w:qFormat/>
    <w:uiPriority w:val="0"/>
    <w:pPr>
      <w:spacing w:line="500" w:lineRule="exact"/>
    </w:pPr>
    <w:rPr>
      <w:rFonts w:ascii="宋体" w:hAnsi="宋体"/>
      <w:sz w:val="28"/>
    </w:rPr>
  </w:style>
  <w:style w:type="paragraph" w:customStyle="1" w:styleId="26">
    <w:name w:val="环保-正文内容"/>
    <w:basedOn w:val="1"/>
    <w:next w:val="1"/>
    <w:autoRedefine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cs="宋体"/>
      <w:sz w:val="24"/>
    </w:rPr>
  </w:style>
  <w:style w:type="paragraph" w:customStyle="1" w:styleId="27">
    <w:name w:val="评估意见标题内容"/>
    <w:basedOn w:val="28"/>
    <w:next w:val="28"/>
    <w:qFormat/>
    <w:uiPriority w:val="0"/>
    <w:pPr>
      <w:outlineLvl w:val="0"/>
    </w:pPr>
    <w:rPr>
      <w:kern w:val="0"/>
    </w:rPr>
  </w:style>
  <w:style w:type="paragraph" w:customStyle="1" w:styleId="28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2017</Words>
  <Characters>2137</Characters>
  <Lines>0</Lines>
  <Paragraphs>0</Paragraphs>
  <TotalTime>85</TotalTime>
  <ScaleCrop>false</ScaleCrop>
  <LinksUpToDate>false</LinksUpToDate>
  <CharactersWithSpaces>2154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2022-08-19T03:38:00Z</dcterms:created>
  <dc:creator>优印图文1</dc:creator>
  <cp:lastModifiedBy>W琪</cp:lastModifiedBy>
  <cp:lastPrinted>2025-05-15T08:27:00Z</cp:lastPrinted>
  <dcterms:modified xsi:type="dcterms:W3CDTF">2025-05-23T02:53:14Z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B88BF444435343A6972A31B323B9122E_13</vt:lpwstr>
  </property>
  <property fmtid="{D5CDD505-2E9C-101B-9397-08002B2CF9AE}" pid="4" name="KSOTemplateDocerSaveRecord">
    <vt:lpwstr>eyJoZGlkIjoiMDc5MzViOWI5ODMxNmU1MjFmZjY5NjVlZTE5M2Q2YjUiLCJ1c2VySWQiOiIzNDEzNjc4NTYifQ==</vt:lpwstr>
  </property>
</Properties>
</file>