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68A">
      <w:pPr>
        <w:ind w:left="0" w:leftChars="0" w:firstLine="0" w:firstLineChars="0"/>
        <w:rPr>
          <w:rFonts w:hint="eastAsia" w:eastAsia="仿宋_GB2312"/>
          <w:sz w:val="32"/>
          <w:lang w:val="en-US" w:eastAsia="zh-CN"/>
        </w:rPr>
      </w:pPr>
    </w:p>
    <w:p w14:paraId="77C4D31A">
      <w:pPr>
        <w:bidi w:val="0"/>
        <w:rPr>
          <w:rFonts w:hint="eastAsia" w:ascii="仿宋_GB2312" w:hAnsi="仿宋_GB2312" w:eastAsia="仿宋_GB2312" w:cs="Times New Roman"/>
          <w:kern w:val="2"/>
          <w:sz w:val="32"/>
          <w:szCs w:val="32"/>
          <w:lang w:val="en-US" w:eastAsia="zh-CN" w:bidi="ar-SA"/>
        </w:rPr>
      </w:pPr>
    </w:p>
    <w:p w14:paraId="11392D1C">
      <w:pPr>
        <w:bidi w:val="0"/>
        <w:rPr>
          <w:rFonts w:hint="eastAsia"/>
          <w:lang w:val="en-US" w:eastAsia="zh-CN"/>
        </w:rPr>
      </w:pPr>
    </w:p>
    <w:p w14:paraId="38EBD69D">
      <w:pPr>
        <w:bidi w:val="0"/>
        <w:rPr>
          <w:rFonts w:hint="eastAsia"/>
          <w:lang w:val="en-US" w:eastAsia="zh-CN"/>
        </w:rPr>
      </w:pPr>
    </w:p>
    <w:p w14:paraId="44954A7F">
      <w:pPr>
        <w:bidi w:val="0"/>
        <w:rPr>
          <w:rFonts w:hint="eastAsia"/>
          <w:lang w:val="en-US" w:eastAsia="zh-CN"/>
        </w:rPr>
      </w:pPr>
    </w:p>
    <w:p w14:paraId="1DC0DB27">
      <w:pPr>
        <w:bidi w:val="0"/>
        <w:rPr>
          <w:rFonts w:hint="eastAsia"/>
          <w:lang w:val="en-US" w:eastAsia="zh-CN"/>
        </w:rPr>
      </w:pPr>
    </w:p>
    <w:p w14:paraId="1CEBAE0C">
      <w:pPr>
        <w:bidi w:val="0"/>
        <w:rPr>
          <w:rFonts w:hint="eastAsia"/>
          <w:lang w:val="en-US" w:eastAsia="zh-CN"/>
        </w:rPr>
      </w:pPr>
    </w:p>
    <w:p w14:paraId="5F4EEF7E">
      <w:pPr>
        <w:bidi w:val="0"/>
        <w:ind w:left="0" w:leftChars="0" w:firstLine="0" w:firstLineChars="0"/>
        <w:jc w:val="center"/>
        <w:rPr>
          <w:rFonts w:hint="eastAsia" w:ascii="仿宋_GB2312" w:hAnsi="仿宋_GB2312" w:eastAsia="仿宋_GB2312" w:cs="仿宋_GB2312"/>
          <w:spacing w:val="-20"/>
          <w:sz w:val="32"/>
          <w:szCs w:val="32"/>
        </w:rPr>
      </w:pPr>
    </w:p>
    <w:p w14:paraId="410B65C5">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10</w:t>
      </w:r>
      <w:r>
        <w:rPr>
          <w:rFonts w:hint="eastAsia" w:ascii="仿宋_GB2312" w:hAnsi="仿宋_GB2312" w:eastAsia="仿宋_GB2312" w:cs="仿宋_GB2312"/>
          <w:spacing w:val="-20"/>
          <w:sz w:val="32"/>
          <w:szCs w:val="32"/>
        </w:rPr>
        <w:t>号</w:t>
      </w:r>
    </w:p>
    <w:p w14:paraId="517D7477">
      <w:pPr>
        <w:bidi w:val="0"/>
        <w:ind w:left="0" w:leftChars="0" w:firstLine="0" w:firstLineChars="0"/>
        <w:jc w:val="both"/>
        <w:rPr>
          <w:rFonts w:hint="eastAsia" w:ascii="仿宋_GB2312" w:hAnsi="仿宋_GB2312" w:eastAsia="仿宋_GB2312" w:cs="仿宋_GB2312"/>
          <w:spacing w:val="-20"/>
          <w:sz w:val="32"/>
          <w:szCs w:val="32"/>
        </w:rPr>
      </w:pPr>
    </w:p>
    <w:p w14:paraId="44FAB312">
      <w:pPr>
        <w:pStyle w:val="8"/>
        <w:ind w:left="0" w:leftChars="0" w:firstLine="0" w:firstLineChars="0"/>
        <w:jc w:val="center"/>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kern w:val="2"/>
          <w:sz w:val="44"/>
          <w:szCs w:val="44"/>
          <w:lang w:val="en-US" w:eastAsia="zh-CN" w:bidi="ar-SA"/>
        </w:rPr>
        <w:t>关于中国石化销售有限公司吉林市石油分公司吉顺加油站改扩建项目</w:t>
      </w:r>
      <w:r>
        <w:rPr>
          <w:rFonts w:hint="eastAsia" w:ascii="方正小标宋简体" w:hAnsi="方正小标宋简体" w:eastAsia="方正小标宋简体" w:cs="方正小标宋简体"/>
          <w:b w:val="0"/>
          <w:bCs w:val="0"/>
          <w:w w:val="90"/>
          <w:sz w:val="44"/>
          <w:szCs w:val="44"/>
        </w:rPr>
        <w:t>环境影响报告表的批复</w:t>
      </w:r>
    </w:p>
    <w:p w14:paraId="66771636">
      <w:pPr>
        <w:pStyle w:val="8"/>
        <w:ind w:left="0" w:leftChars="0" w:firstLine="0" w:firstLineChars="0"/>
        <w:jc w:val="center"/>
        <w:rPr>
          <w:rFonts w:hint="eastAsia" w:ascii="方正小标宋简体" w:hAnsi="方正小标宋简体" w:eastAsia="方正小标宋简体" w:cs="方正小标宋简体"/>
          <w:b w:val="0"/>
          <w:bCs w:val="0"/>
          <w:w w:val="90"/>
          <w:sz w:val="44"/>
          <w:szCs w:val="44"/>
          <w:lang w:val="en-US" w:eastAsia="zh-CN"/>
        </w:rPr>
      </w:pPr>
    </w:p>
    <w:p w14:paraId="6D12A0B2">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中国石化销售有限公司吉林市石油分公司吉顺加油站： </w:t>
      </w:r>
    </w:p>
    <w:p w14:paraId="1DE5FA82">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关于对〈中国石化销售有限公司吉林市石油分公司吉顺加油站改扩建项目环境影响报告表〉审查的申请》和委托吉林灵隆环境科技有限公司编制的《中国石化销售有限公司吉林市石油分公司吉顺加油站改扩建项目环境影响报告表》（报批版）收悉。经研究，现批复如下：</w:t>
      </w:r>
    </w:p>
    <w:p w14:paraId="46B12072">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中国石化销售有限公司吉林市石油分公司吉顺加油站位于吉林省吉林市龙潭区华丹大街8号，企业于2011年9月5日取得原吉林市环境保护局审批《关于中国石油化工股份有限公司吉林市石油分公司吉顺加油加气站建设项目环境影响报告表的批复》，文号为吉市环建(表)字〔2011〕122号，于2016年11月23日取得验收意见，文号为吉市环验〔2016〕131号，排污许可证编号为91220201686991696X002Y。本项目将现有3号15m</w:t>
      </w:r>
      <w:r>
        <w:rPr>
          <w:rFonts w:hint="eastAsia" w:ascii="仿宋_GB2312" w:hAnsi="仿宋_GB2312" w:eastAsia="仿宋_GB2312" w:cs="仿宋_GB2312"/>
          <w:kern w:val="2"/>
          <w:sz w:val="32"/>
          <w:szCs w:val="32"/>
          <w:vertAlign w:val="superscript"/>
          <w:lang w:val="en-US" w:eastAsia="zh-CN" w:bidi="ar-SA"/>
        </w:rPr>
        <w:t>3</w:t>
      </w:r>
      <w:r>
        <w:rPr>
          <w:rFonts w:hint="eastAsia" w:ascii="仿宋_GB2312" w:hAnsi="仿宋_GB2312" w:eastAsia="仿宋_GB2312" w:cs="仿宋_GB2312"/>
          <w:kern w:val="2"/>
          <w:sz w:val="32"/>
          <w:szCs w:val="32"/>
          <w:lang w:val="en-US" w:eastAsia="zh-CN" w:bidi="ar-SA"/>
        </w:rPr>
        <w:t>柴油储罐改为95#汽油储罐，4号加油岛安装1台四枪双油品潜油泵汽油加油机及配套设施。本项目建成后新增汽油销售量为2585t/a、柴油量4074t/a，现有加气站及其罩棚已停止运营。</w:t>
      </w:r>
    </w:p>
    <w:p w14:paraId="4399D072">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主体工程：改建4号加油岛</w:t>
      </w:r>
      <w:r>
        <w:rPr>
          <w:rFonts w:hint="eastAsia" w:ascii="仿宋_GB2312" w:hAnsi="仿宋_GB2312" w:eastAsia="仿宋_GB2312" w:cs="仿宋_GB2312"/>
          <w:color w:val="auto"/>
          <w:kern w:val="2"/>
          <w:sz w:val="32"/>
          <w:szCs w:val="32"/>
          <w:u w:val="none"/>
          <w:lang w:val="en-US" w:eastAsia="zh-CN" w:bidi="ar-SA"/>
        </w:rPr>
        <w:t>及</w:t>
      </w:r>
      <w:r>
        <w:rPr>
          <w:rFonts w:hint="eastAsia" w:ascii="仿宋_GB2312" w:hAnsi="仿宋_GB2312" w:eastAsia="仿宋_GB2312" w:cs="仿宋_GB2312"/>
          <w:color w:val="auto"/>
          <w:kern w:val="2"/>
          <w:sz w:val="32"/>
          <w:szCs w:val="32"/>
          <w:highlight w:val="none"/>
          <w:u w:val="none"/>
          <w:lang w:val="en-US" w:eastAsia="zh-CN" w:bidi="ar-SA"/>
        </w:rPr>
        <w:t>3号柴油储罐。环保工程：新增配套油气回收处理装置，处理能力12m</w:t>
      </w:r>
      <w:r>
        <w:rPr>
          <w:rFonts w:hint="eastAsia" w:ascii="仿宋_GB2312" w:hAnsi="仿宋_GB2312" w:eastAsia="仿宋_GB2312" w:cs="仿宋_GB2312"/>
          <w:color w:val="auto"/>
          <w:kern w:val="2"/>
          <w:sz w:val="32"/>
          <w:szCs w:val="32"/>
          <w:highlight w:val="none"/>
          <w:u w:val="none"/>
          <w:vertAlign w:val="superscript"/>
          <w:lang w:val="en-US" w:eastAsia="zh-CN" w:bidi="ar-SA"/>
        </w:rPr>
        <w:t>3</w:t>
      </w:r>
      <w:r>
        <w:rPr>
          <w:rFonts w:hint="eastAsia" w:ascii="仿宋_GB2312" w:hAnsi="仿宋_GB2312" w:eastAsia="仿宋_GB2312" w:cs="仿宋_GB2312"/>
          <w:color w:val="auto"/>
          <w:kern w:val="2"/>
          <w:sz w:val="32"/>
          <w:szCs w:val="32"/>
          <w:highlight w:val="none"/>
          <w:u w:val="none"/>
          <w:lang w:val="en-US" w:eastAsia="zh-CN" w:bidi="ar-SA"/>
        </w:rPr>
        <w:t>/h；加油泵安装减振基础。</w:t>
      </w:r>
      <w:r>
        <w:rPr>
          <w:rFonts w:hint="eastAsia" w:ascii="仿宋_GB2312" w:hAnsi="仿宋_GB2312" w:eastAsia="仿宋_GB2312" w:cs="仿宋_GB2312"/>
          <w:color w:val="auto"/>
          <w:kern w:val="2"/>
          <w:sz w:val="32"/>
          <w:szCs w:val="32"/>
          <w:u w:val="none"/>
          <w:lang w:val="en-US" w:eastAsia="zh-CN" w:bidi="ar-SA"/>
        </w:rPr>
        <w:t>其他工程依托现有。本项目无新增劳动定员，</w:t>
      </w:r>
      <w:r>
        <w:rPr>
          <w:rFonts w:hint="eastAsia" w:ascii="仿宋_GB2312" w:hAnsi="仿宋_GB2312" w:eastAsia="仿宋_GB2312" w:cs="仿宋_GB2312"/>
          <w:sz w:val="32"/>
          <w:szCs w:val="32"/>
          <w:u w:val="none"/>
          <w:lang w:val="en-US" w:eastAsia="zh-CN"/>
        </w:rPr>
        <w:t>年工作</w:t>
      </w:r>
      <w:r>
        <w:rPr>
          <w:rFonts w:hint="eastAsia" w:ascii="仿宋_GB2312" w:hAnsi="仿宋_GB2312" w:eastAsia="仿宋_GB2312" w:cs="仿宋_GB2312"/>
          <w:sz w:val="32"/>
          <w:szCs w:val="32"/>
          <w:lang w:val="en-US" w:eastAsia="zh-CN"/>
        </w:rPr>
        <w:t>365天，三班制，每班8小时</w:t>
      </w:r>
      <w:r>
        <w:rPr>
          <w:rFonts w:hint="eastAsia" w:ascii="仿宋_GB2312" w:hAnsi="仿宋_GB2312" w:eastAsia="仿宋_GB2312" w:cs="仿宋_GB2312"/>
          <w:color w:val="auto"/>
          <w:kern w:val="2"/>
          <w:sz w:val="32"/>
          <w:szCs w:val="32"/>
          <w:lang w:val="en-US" w:eastAsia="zh-CN" w:bidi="ar-SA"/>
        </w:rPr>
        <w:t>。本项目不设置食堂、宿舍。</w:t>
      </w:r>
      <w:r>
        <w:rPr>
          <w:rFonts w:hint="eastAsia" w:ascii="仿宋_GB2312" w:hAnsi="仿宋_GB2312" w:eastAsia="仿宋_GB2312" w:cs="仿宋_GB2312"/>
          <w:sz w:val="32"/>
          <w:szCs w:val="32"/>
          <w:lang w:val="en-US" w:eastAsia="zh-CN"/>
        </w:rPr>
        <w:t>采用集中供暖</w:t>
      </w:r>
      <w:r>
        <w:rPr>
          <w:rFonts w:hint="eastAsia" w:ascii="仿宋_GB2312" w:hAnsi="仿宋_GB2312" w:eastAsia="仿宋_GB2312" w:cs="仿宋_GB2312"/>
          <w:color w:val="auto"/>
          <w:kern w:val="2"/>
          <w:sz w:val="32"/>
          <w:szCs w:val="32"/>
          <w:lang w:val="en-US" w:eastAsia="zh-CN" w:bidi="ar-SA"/>
        </w:rPr>
        <w:t>。加油站占地面积为2908.72m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vertAlign w:val="baseline"/>
          <w:lang w:val="en-US" w:eastAsia="zh-CN" w:bidi="ar-SA"/>
        </w:rPr>
        <w:t>，</w:t>
      </w:r>
      <w:r>
        <w:rPr>
          <w:rFonts w:hint="eastAsia" w:ascii="仿宋_GB2312" w:hAnsi="仿宋_GB2312" w:eastAsia="仿宋_GB2312" w:cs="仿宋_GB2312"/>
          <w:color w:val="auto"/>
          <w:kern w:val="2"/>
          <w:sz w:val="32"/>
          <w:szCs w:val="32"/>
          <w:lang w:val="en-US" w:eastAsia="zh-CN" w:bidi="ar-SA"/>
        </w:rPr>
        <w:t>总投资20万元，其中环保投资11.7万元。</w:t>
      </w:r>
      <w:r>
        <w:rPr>
          <w:rFonts w:hint="eastAsia" w:ascii="仿宋_GB2312" w:hAnsi="仿宋_GB2312" w:eastAsia="仿宋_GB2312" w:cs="仿宋_GB2312"/>
          <w:color w:val="auto"/>
          <w:sz w:val="32"/>
          <w:szCs w:val="32"/>
          <w:lang w:val="en-US" w:eastAsia="zh-CN"/>
        </w:rPr>
        <w:t>根</w:t>
      </w:r>
      <w:r>
        <w:rPr>
          <w:rFonts w:hint="eastAsia" w:ascii="仿宋_GB2312" w:hAnsi="仿宋_GB2312" w:eastAsia="仿宋_GB2312" w:cs="仿宋_GB2312"/>
          <w:color w:val="auto"/>
          <w:sz w:val="32"/>
          <w:szCs w:val="32"/>
        </w:rPr>
        <w:t>据环境影响报告表评价结论和</w:t>
      </w:r>
      <w:r>
        <w:rPr>
          <w:rFonts w:hint="eastAsia" w:ascii="仿宋_GB2312" w:hAnsi="仿宋_GB2312" w:eastAsia="仿宋_GB2312" w:cs="仿宋_GB2312"/>
          <w:color w:val="auto"/>
          <w:sz w:val="32"/>
          <w:szCs w:val="32"/>
          <w:lang w:eastAsia="zh-CN"/>
        </w:rPr>
        <w:t>技术评估</w:t>
      </w:r>
      <w:r>
        <w:rPr>
          <w:rFonts w:hint="eastAsia" w:ascii="仿宋_GB2312" w:hAnsi="仿宋_GB2312" w:eastAsia="仿宋_GB2312" w:cs="仿宋_GB2312"/>
          <w:color w:val="auto"/>
          <w:sz w:val="32"/>
          <w:szCs w:val="32"/>
        </w:rPr>
        <w:t>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5DBA5B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二、项目建设应重点做好以下工作：</w:t>
      </w:r>
    </w:p>
    <w:p w14:paraId="0BDB4F9E">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1.加强建设期环境管理。施工期主要工程为清洗3号罐及其管线，清洗工艺：排空残油－通风吹扫－罐内蒸汽清洗－吸污作业－通风吹扫，通风吹扫效果采用可燃气体报警器检验，达到安全值方可进行下一步清罐作业。生活污水排入化粪池，定期委托有资质单位抽运至指定地点，通过城市管网排放至吉林市污水处理厂，处理达标后排入松花江；排空油罐产生的不可回收的残油、废液、油渣密封桶装暂存于危废贮存点，委托有资质单位及时清运处置。生活垃圾集中收集后由环卫部门清运。使用低噪声施工机械，控制施工期噪声符合《建筑施工场界环境噪声排放标准》（GB12523-2011）要求，将项目建设对外界环境影响降至最低。落实施工期的各项污染防治措施，防止发生环境污染和扰民事件。</w:t>
      </w:r>
    </w:p>
    <w:p w14:paraId="768675B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2.本项目运营期无新增生活污水及生产废水排放。</w:t>
      </w:r>
    </w:p>
    <w:p w14:paraId="492D7E9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3.本项目运营期产生的大气污染物主要为</w:t>
      </w:r>
      <w:r>
        <w:rPr>
          <w:rFonts w:hint="eastAsia" w:ascii="仿宋_GB2312" w:hAnsi="仿宋_GB2312" w:eastAsia="仿宋_GB2312" w:cs="仿宋_GB2312"/>
          <w:spacing w:val="6"/>
          <w:sz w:val="32"/>
          <w:szCs w:val="32"/>
        </w:rPr>
        <w:t>卸油、储油</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加油</w:t>
      </w:r>
      <w:r>
        <w:rPr>
          <w:rFonts w:hint="eastAsia" w:ascii="仿宋_GB2312" w:hAnsi="仿宋_GB2312" w:eastAsia="仿宋_GB2312" w:cs="仿宋_GB2312"/>
          <w:spacing w:val="6"/>
          <w:sz w:val="32"/>
          <w:szCs w:val="32"/>
          <w:lang w:val="en-US" w:eastAsia="zh-CN"/>
        </w:rPr>
        <w:t>过程中产生的非甲烷总烃</w:t>
      </w:r>
      <w:r>
        <w:rPr>
          <w:rFonts w:hint="eastAsia" w:ascii="仿宋_GB2312" w:hAnsi="仿宋_GB2312" w:eastAsia="仿宋_GB2312" w:cs="仿宋_GB2312"/>
          <w:bCs/>
          <w:color w:val="auto"/>
          <w:sz w:val="32"/>
          <w:szCs w:val="32"/>
          <w:highlight w:val="none"/>
          <w:u w:val="none" w:color="auto"/>
          <w:lang w:val="en-US" w:eastAsia="zh-CN"/>
        </w:rPr>
        <w:t>。项目采用油罐车与油罐卸油孔连通软管浸没式卸油方式，采用正压加油工艺，采用溢油控制措施；汽油采用二次油气回收系统（卸油油气回收系统、加油油气回收系统），设置截流阀及密封式快速接头；埋地油罐采用电子式液位计进行汽油密闭测量，厂界设置绿化带。加强管理，确保厂内非甲烷总烃无组织排放执行《挥发性有机物无组织排放控制标</w:t>
      </w:r>
      <w:r>
        <w:rPr>
          <w:rFonts w:hint="eastAsia" w:ascii="仿宋_GB2312" w:hAnsi="仿宋_GB2312" w:eastAsia="仿宋_GB2312" w:cs="仿宋_GB2312"/>
          <w:sz w:val="32"/>
          <w:szCs w:val="32"/>
        </w:rPr>
        <w:t>准》（GB37822-2019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auto"/>
          <w:sz w:val="32"/>
          <w:szCs w:val="32"/>
          <w:highlight w:val="none"/>
          <w:u w:val="none" w:color="auto"/>
          <w:lang w:val="en-US" w:eastAsia="zh-CN"/>
        </w:rPr>
        <w:t>厂界非甲烷总烃无组织排放执行《加油站大气污染物排放标准》（GB 20952—2020）表3相关要求；</w:t>
      </w:r>
      <w:r>
        <w:rPr>
          <w:rFonts w:hint="eastAsia" w:ascii="仿宋_GB2312" w:hAnsi="仿宋_GB2312" w:eastAsia="仿宋_GB2312" w:cs="仿宋_GB2312"/>
          <w:spacing w:val="3"/>
          <w:sz w:val="32"/>
          <w:szCs w:val="32"/>
        </w:rPr>
        <w:t>卸油、</w:t>
      </w:r>
      <w:r>
        <w:rPr>
          <w:rFonts w:hint="eastAsia" w:ascii="仿宋_GB2312" w:hAnsi="仿宋_GB2312" w:eastAsia="仿宋_GB2312" w:cs="仿宋_GB2312"/>
          <w:spacing w:val="14"/>
          <w:sz w:val="32"/>
          <w:szCs w:val="32"/>
        </w:rPr>
        <w:t>储油和加油时排放的油气回收、油气平衡、</w:t>
      </w:r>
      <w:r>
        <w:rPr>
          <w:rFonts w:hint="eastAsia" w:ascii="仿宋_GB2312" w:hAnsi="仿宋_GB2312" w:eastAsia="仿宋_GB2312" w:cs="仿宋_GB2312"/>
          <w:spacing w:val="13"/>
          <w:sz w:val="32"/>
          <w:szCs w:val="32"/>
        </w:rPr>
        <w:t>在线监测及油气处理</w:t>
      </w:r>
      <w:r>
        <w:rPr>
          <w:rFonts w:hint="eastAsia" w:ascii="仿宋_GB2312" w:hAnsi="仿宋_GB2312" w:eastAsia="仿宋_GB2312" w:cs="仿宋_GB2312"/>
          <w:spacing w:val="8"/>
          <w:sz w:val="32"/>
          <w:szCs w:val="32"/>
        </w:rPr>
        <w:t>措施</w:t>
      </w:r>
      <w:r>
        <w:rPr>
          <w:rFonts w:hint="eastAsia" w:ascii="仿宋_GB2312" w:hAnsi="仿宋_GB2312" w:eastAsia="仿宋_GB2312" w:cs="仿宋_GB2312"/>
          <w:spacing w:val="14"/>
          <w:sz w:val="32"/>
          <w:szCs w:val="32"/>
          <w:lang w:val="en-US" w:eastAsia="zh-CN"/>
        </w:rPr>
        <w:t>建设执行</w:t>
      </w:r>
      <w:r>
        <w:rPr>
          <w:rFonts w:hint="eastAsia" w:ascii="仿宋_GB2312" w:hAnsi="仿宋_GB2312" w:eastAsia="仿宋_GB2312" w:cs="仿宋_GB2312"/>
          <w:spacing w:val="14"/>
          <w:sz w:val="32"/>
          <w:szCs w:val="32"/>
        </w:rPr>
        <w:t>《加油站大气污染物排放</w:t>
      </w:r>
      <w:r>
        <w:rPr>
          <w:rFonts w:hint="eastAsia" w:ascii="仿宋_GB2312" w:hAnsi="仿宋_GB2312" w:eastAsia="仿宋_GB2312" w:cs="仿宋_GB2312"/>
          <w:spacing w:val="3"/>
          <w:sz w:val="32"/>
          <w:szCs w:val="32"/>
        </w:rPr>
        <w:t>标准》(</w:t>
      </w:r>
      <w:r>
        <w:rPr>
          <w:rFonts w:hint="eastAsia" w:ascii="仿宋_GB2312" w:hAnsi="仿宋_GB2312" w:eastAsia="仿宋_GB2312" w:cs="仿宋_GB2312"/>
          <w:sz w:val="32"/>
          <w:szCs w:val="32"/>
        </w:rPr>
        <w:t>GB</w:t>
      </w:r>
      <w:r>
        <w:rPr>
          <w:rFonts w:hint="eastAsia" w:ascii="仿宋_GB2312" w:hAnsi="仿宋_GB2312" w:eastAsia="仿宋_GB2312" w:cs="仿宋_GB2312"/>
          <w:spacing w:val="3"/>
          <w:sz w:val="32"/>
          <w:szCs w:val="32"/>
        </w:rPr>
        <w:t>20952-2020)中“4油气回收排放控制要求”</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加油工艺及设施</w:t>
      </w:r>
      <w:r>
        <w:rPr>
          <w:rFonts w:hint="eastAsia" w:ascii="仿宋_GB2312" w:hAnsi="仿宋_GB2312" w:eastAsia="仿宋_GB2312" w:cs="仿宋_GB2312"/>
          <w:spacing w:val="8"/>
          <w:sz w:val="32"/>
          <w:szCs w:val="32"/>
          <w:lang w:val="en-US" w:eastAsia="zh-CN"/>
        </w:rPr>
        <w:t>建设执行</w:t>
      </w:r>
      <w:r>
        <w:rPr>
          <w:rFonts w:hint="eastAsia" w:ascii="仿宋_GB2312" w:hAnsi="仿宋_GB2312" w:eastAsia="仿宋_GB2312" w:cs="仿宋_GB2312"/>
          <w:spacing w:val="8"/>
          <w:sz w:val="32"/>
          <w:szCs w:val="32"/>
        </w:rPr>
        <w:t>《汽车加油加气加氢站技术标准》</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10"/>
          <w:sz w:val="32"/>
          <w:szCs w:val="32"/>
        </w:rPr>
        <w:t>50156-2021)</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油气回收工艺及管线</w:t>
      </w:r>
      <w:r>
        <w:rPr>
          <w:rFonts w:hint="eastAsia" w:ascii="仿宋_GB2312" w:hAnsi="仿宋_GB2312" w:eastAsia="仿宋_GB2312" w:cs="仿宋_GB2312"/>
          <w:spacing w:val="10"/>
          <w:sz w:val="32"/>
          <w:szCs w:val="32"/>
          <w:lang w:val="en-US" w:eastAsia="zh-CN"/>
        </w:rPr>
        <w:t>建设执行</w:t>
      </w:r>
      <w:r>
        <w:rPr>
          <w:rFonts w:hint="eastAsia" w:ascii="仿宋_GB2312" w:hAnsi="仿宋_GB2312" w:eastAsia="仿宋_GB2312" w:cs="仿宋_GB2312"/>
          <w:spacing w:val="4"/>
          <w:sz w:val="32"/>
          <w:szCs w:val="32"/>
        </w:rPr>
        <w:t>《油气回收处理设施技术标准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4"/>
          <w:sz w:val="32"/>
          <w:szCs w:val="32"/>
        </w:rPr>
        <w:t>/T50759-2022)</w:t>
      </w:r>
      <w:r>
        <w:rPr>
          <w:rFonts w:hint="eastAsia" w:ascii="仿宋_GB2312" w:hAnsi="仿宋_GB2312" w:eastAsia="仿宋_GB2312" w:cs="仿宋_GB2312"/>
          <w:spacing w:val="4"/>
          <w:sz w:val="32"/>
          <w:szCs w:val="32"/>
          <w:lang w:eastAsia="zh-CN"/>
        </w:rPr>
        <w:t>。</w:t>
      </w:r>
    </w:p>
    <w:p w14:paraId="3852204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4.优先选用低噪音设备，合理布局，采取有效的隔声减振措施，确保厂界噪声符合《工业企业厂界环境噪声排放标准》（GB12348-2008）中1类（东、南、北侧）、4类（西侧）声环境功能区限值。</w:t>
      </w:r>
    </w:p>
    <w:p w14:paraId="4CC72CB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5.严格按照有关规定，对固体废物实施分类处理、处置，做到“减量化、资源化、无害化”，防止产生二次污染。本项目</w:t>
      </w:r>
      <w:r>
        <w:rPr>
          <w:rFonts w:hint="eastAsia" w:ascii="仿宋_GB2312" w:hAnsi="仿宋_GB2312" w:eastAsia="仿宋_GB2312" w:cs="仿宋_GB2312"/>
          <w:sz w:val="32"/>
          <w:szCs w:val="32"/>
          <w:lang w:eastAsia="zh-CN"/>
        </w:rPr>
        <w:t>清罐</w:t>
      </w:r>
      <w:r>
        <w:rPr>
          <w:rFonts w:hint="eastAsia" w:ascii="仿宋_GB2312" w:hAnsi="仿宋_GB2312" w:eastAsia="仿宋_GB2312" w:cs="仿宋_GB2312"/>
          <w:sz w:val="32"/>
          <w:szCs w:val="32"/>
          <w:lang w:val="en-US" w:eastAsia="zh-CN"/>
        </w:rPr>
        <w:t>油渣</w:t>
      </w:r>
      <w:r>
        <w:rPr>
          <w:rFonts w:hint="eastAsia" w:ascii="仿宋_GB2312" w:hAnsi="仿宋_GB2312" w:eastAsia="仿宋_GB2312" w:cs="仿宋_GB2312"/>
          <w:bCs/>
          <w:color w:val="auto"/>
          <w:sz w:val="32"/>
          <w:szCs w:val="32"/>
          <w:highlight w:val="none"/>
          <w:u w:val="none" w:color="auto"/>
          <w:lang w:val="en-US" w:eastAsia="zh-CN"/>
        </w:rPr>
        <w:t>直接由有资质单位清运处置，随产随清不在厂内暂存；含油抹布密封桶装暂存于危废贮存点，委托有资质单位清运处置。加强管理，确保危险废物处置符合《危险废物贮存污染控制标准》（GB18597-2023）；固体废物处置符合《一般工业固体废物贮存和填埋污染控制标准》（GB18599-2020）。　</w:t>
      </w:r>
    </w:p>
    <w:p w14:paraId="1F52FA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6.落实地下水和土壤污染防治措施。本项目对储油罐内外表面、防油堤的内表面采用钢制防渗技术，油罐区地面、输油管线外表面做防渗防腐处理，穿越道路处管线、套管均采用特加强级防腐；地下油罐双层之间安装24小时实时渗漏监测仪；厂区进行分区防渗，油罐区为重点防渗区，加油区为一般防渗区，站房、站内道路为简单防渗区。</w:t>
      </w:r>
    </w:p>
    <w:p w14:paraId="7EB4F6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7.严格落实环评报告中的风险防范和应急措施。修订污染事故防范和处理应急预案，提高事故风险防范和污染控制能力。增强员工的环境风险防范意识，定期进行环境安全隐患排查，杜绝发生环境风险事故。</w:t>
      </w:r>
    </w:p>
    <w:p w14:paraId="46E8243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8.企业应按照相关要求落实监测计划。</w:t>
      </w:r>
    </w:p>
    <w:p w14:paraId="51F518F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三、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47F6C35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四、有机衔接环境影响评价与排污许可证申领。按照《排污许可管理办法》的要求，项目在启动生产设施或者在实际排污之前，申请并领取排污许可证，要将经批准的环境影响评价文件中各项环境保护措施、污染物排放清单及其他有关内容载入排污许可证，并按证排污。</w:t>
      </w:r>
    </w:p>
    <w:p w14:paraId="2E0B4AD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五、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1B44556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六、由吉林市生态环境保护综合行政执法支队龙潭大队负责按照《建设项目环境保护事中事后监督管理办法（试行）》（环发〔2015〕163号）的规定，进行本建设项目事中事后的环境监督管理工作。</w:t>
      </w:r>
    </w:p>
    <w:p w14:paraId="0ABF153B">
      <w:pPr>
        <w:pStyle w:val="9"/>
        <w:keepNext w:val="0"/>
        <w:keepLines w:val="0"/>
        <w:pageBreakBefore w:val="0"/>
        <w:kinsoku/>
        <w:wordWrap/>
        <w:overflowPunct/>
        <w:topLinePunct w:val="0"/>
        <w:bidi w:val="0"/>
        <w:spacing w:line="520" w:lineRule="exact"/>
        <w:textAlignment w:val="auto"/>
        <w:rPr>
          <w:rFonts w:hint="eastAsia" w:ascii="仿宋_GB2312" w:hAnsi="仿宋_GB2312" w:eastAsia="仿宋_GB2312" w:cs="仿宋_GB2312"/>
          <w:sz w:val="32"/>
          <w:szCs w:val="32"/>
          <w:lang w:eastAsia="zh-CN"/>
        </w:rPr>
      </w:pPr>
    </w:p>
    <w:p w14:paraId="2454CE19">
      <w:pPr>
        <w:pStyle w:val="13"/>
        <w:keepNext w:val="0"/>
        <w:keepLines w:val="0"/>
        <w:pageBreakBefore w:val="0"/>
        <w:numPr>
          <w:ilvl w:val="0"/>
          <w:numId w:val="0"/>
        </w:numPr>
        <w:kinsoku/>
        <w:wordWrap/>
        <w:overflowPunct/>
        <w:topLinePunct w:val="0"/>
        <w:bidi w:val="0"/>
        <w:spacing w:line="520" w:lineRule="exact"/>
        <w:ind w:leftChars="200"/>
        <w:textAlignment w:val="auto"/>
        <w:rPr>
          <w:rFonts w:hint="eastAsia" w:ascii="仿宋_GB2312" w:hAnsi="仿宋_GB2312" w:eastAsia="仿宋_GB2312" w:cs="仿宋_GB2312"/>
          <w:sz w:val="32"/>
          <w:szCs w:val="32"/>
          <w:lang w:eastAsia="zh-CN"/>
        </w:rPr>
      </w:pPr>
    </w:p>
    <w:p w14:paraId="08B6083C">
      <w:pPr>
        <w:pStyle w:val="13"/>
        <w:keepNext w:val="0"/>
        <w:keepLines w:val="0"/>
        <w:pageBreakBefore w:val="0"/>
        <w:numPr>
          <w:ilvl w:val="0"/>
          <w:numId w:val="0"/>
        </w:numPr>
        <w:kinsoku/>
        <w:wordWrap/>
        <w:overflowPunct/>
        <w:topLinePunct w:val="0"/>
        <w:bidi w:val="0"/>
        <w:spacing w:line="520" w:lineRule="exact"/>
        <w:ind w:leftChars="200"/>
        <w:textAlignment w:val="auto"/>
        <w:rPr>
          <w:rFonts w:hint="eastAsia" w:ascii="仿宋_GB2312" w:hAnsi="仿宋_GB2312" w:eastAsia="仿宋_GB2312" w:cs="仿宋_GB2312"/>
          <w:sz w:val="32"/>
          <w:szCs w:val="32"/>
          <w:lang w:eastAsia="zh-CN"/>
        </w:rPr>
      </w:pPr>
    </w:p>
    <w:p w14:paraId="7CDFEAC4">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吉林市生态环境局</w:t>
      </w:r>
    </w:p>
    <w:p w14:paraId="7E14DD2F">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2025年9月18日</w:t>
      </w:r>
      <w:r>
        <w:rPr>
          <w:rFonts w:hint="eastAsia" w:ascii="仿宋_GB2312" w:hAnsi="仿宋_GB2312" w:eastAsia="仿宋_GB2312" w:cs="仿宋_GB2312"/>
          <w:bCs/>
          <w:color w:val="auto"/>
          <w:sz w:val="32"/>
          <w:szCs w:val="32"/>
          <w:highlight w:val="none"/>
          <w:u w:val="none" w:color="auto"/>
          <w:lang w:val="en-US" w:eastAsia="zh-CN"/>
        </w:rPr>
        <w:t xml:space="preserve">        </w:t>
      </w:r>
    </w:p>
    <w:tbl>
      <w:tblPr>
        <w:tblStyle w:val="23"/>
        <w:tblpPr w:vertAnchor="page" w:horzAnchor="page" w:tblpX="1522" w:tblpY="14197"/>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7E2367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356620A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抄送：吉林市生态环境保护综合行政执法支队龙潭大队</w:t>
            </w:r>
          </w:p>
        </w:tc>
      </w:tr>
      <w:tr w14:paraId="600F5C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23959F8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吉林市生态环境局</w:t>
            </w:r>
            <w:r>
              <w:rPr>
                <w:rFonts w:hint="eastAsia" w:ascii="仿宋_GB2312" w:hAnsi="仿宋_GB2312" w:eastAsia="仿宋_GB2312" w:cs="仿宋_GB2312"/>
                <w:bCs/>
                <w:color w:val="auto"/>
                <w:sz w:val="32"/>
                <w:szCs w:val="32"/>
                <w:highlight w:val="none"/>
                <w:u w:val="none" w:color="auto"/>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1F23576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eastAsia="zh-CN"/>
              </w:rPr>
              <w:t>2025年9月</w:t>
            </w:r>
            <w:r>
              <w:rPr>
                <w:rFonts w:hint="eastAsia" w:cs="仿宋_GB2312"/>
                <w:bCs/>
                <w:color w:val="auto"/>
                <w:sz w:val="32"/>
                <w:szCs w:val="32"/>
                <w:highlight w:val="none"/>
                <w:u w:val="none" w:color="auto"/>
                <w:lang w:val="en-US" w:eastAsia="zh-CN"/>
              </w:rPr>
              <w:t>18</w:t>
            </w:r>
            <w:r>
              <w:rPr>
                <w:rFonts w:hint="eastAsia" w:ascii="仿宋_GB2312" w:hAnsi="仿宋_GB2312" w:eastAsia="仿宋_GB2312" w:cs="仿宋_GB2312"/>
                <w:bCs/>
                <w:color w:val="auto"/>
                <w:sz w:val="32"/>
                <w:szCs w:val="32"/>
                <w:highlight w:val="none"/>
                <w:u w:val="none" w:color="auto"/>
                <w:lang w:val="en-US" w:eastAsia="zh-CN"/>
              </w:rPr>
              <w:t>日印发</w:t>
            </w:r>
          </w:p>
        </w:tc>
      </w:tr>
    </w:tbl>
    <w:p w14:paraId="1E0616B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32"/>
          <w:szCs w:val="32"/>
          <w:highlight w:val="none"/>
          <w:u w:val="none" w:color="auto"/>
          <w:lang w:val="en-US" w:eastAsia="zh-CN"/>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E46FDB06-BD5C-474B-A4CD-EB69A30E493D}"/>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C33ABD65-649A-4160-B83C-58609B810E99}"/>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6A12">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F1EA8">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F1EA8">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73E381FC"/>
    <w:multiLevelType w:val="multilevel"/>
    <w:tmpl w:val="73E381FC"/>
    <w:lvl w:ilvl="0" w:tentative="0">
      <w:start w:val="1"/>
      <w:numFmt w:val="chineseCounting"/>
      <w:pStyle w:val="2"/>
      <w:suff w:val="nothing"/>
      <w:lvlText w:val="%1、"/>
      <w:lvlJc w:val="left"/>
      <w:pPr>
        <w:tabs>
          <w:tab w:val="left" w:pos="993"/>
        </w:tabs>
        <w:ind w:left="993" w:firstLine="0"/>
      </w:pPr>
      <w:rPr>
        <w:rFonts w:hint="eastAsia"/>
      </w:rPr>
    </w:lvl>
    <w:lvl w:ilvl="1" w:tentative="0">
      <w:start w:val="1"/>
      <w:numFmt w:val="chineseCounting"/>
      <w:pStyle w:val="3"/>
      <w:suff w:val="nothing"/>
      <w:lvlText w:val="（%2）"/>
      <w:lvlJc w:val="left"/>
      <w:pPr>
        <w:ind w:left="993" w:firstLine="0"/>
      </w:pPr>
      <w:rPr>
        <w:rFonts w:hint="eastAsia" w:ascii="仿宋" w:hAnsi="仿宋" w:eastAsia="仿宋" w:cs="宋体"/>
      </w:rPr>
    </w:lvl>
    <w:lvl w:ilvl="2" w:tentative="0">
      <w:start w:val="1"/>
      <w:numFmt w:val="decimal"/>
      <w:pStyle w:val="4"/>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1215C29"/>
    <w:rsid w:val="0266438F"/>
    <w:rsid w:val="02E46937"/>
    <w:rsid w:val="030B6161"/>
    <w:rsid w:val="07264286"/>
    <w:rsid w:val="07542310"/>
    <w:rsid w:val="07DC57B4"/>
    <w:rsid w:val="08607EC0"/>
    <w:rsid w:val="08EA2658"/>
    <w:rsid w:val="096864F2"/>
    <w:rsid w:val="09864BCA"/>
    <w:rsid w:val="0A094D1A"/>
    <w:rsid w:val="0C7236B3"/>
    <w:rsid w:val="0D832131"/>
    <w:rsid w:val="0DB06FB5"/>
    <w:rsid w:val="0E102B78"/>
    <w:rsid w:val="0E19425F"/>
    <w:rsid w:val="0F062414"/>
    <w:rsid w:val="0F4C6BFF"/>
    <w:rsid w:val="0F4F6E1F"/>
    <w:rsid w:val="0F914A2F"/>
    <w:rsid w:val="0FE15608"/>
    <w:rsid w:val="116E69B0"/>
    <w:rsid w:val="121B3756"/>
    <w:rsid w:val="12270675"/>
    <w:rsid w:val="14311A36"/>
    <w:rsid w:val="14485080"/>
    <w:rsid w:val="14F05B14"/>
    <w:rsid w:val="1529088D"/>
    <w:rsid w:val="15D37529"/>
    <w:rsid w:val="160B1746"/>
    <w:rsid w:val="160E37B1"/>
    <w:rsid w:val="18381EC3"/>
    <w:rsid w:val="184419B1"/>
    <w:rsid w:val="18527E28"/>
    <w:rsid w:val="187022F0"/>
    <w:rsid w:val="18F32D36"/>
    <w:rsid w:val="192722AA"/>
    <w:rsid w:val="19D8137C"/>
    <w:rsid w:val="1A445BA3"/>
    <w:rsid w:val="1A50276F"/>
    <w:rsid w:val="1A9A1170"/>
    <w:rsid w:val="1B1F3CE5"/>
    <w:rsid w:val="1B653EF2"/>
    <w:rsid w:val="1CD5587F"/>
    <w:rsid w:val="1CDD0E88"/>
    <w:rsid w:val="1D007D32"/>
    <w:rsid w:val="1D093E4D"/>
    <w:rsid w:val="1F196F14"/>
    <w:rsid w:val="1F30765A"/>
    <w:rsid w:val="1F560908"/>
    <w:rsid w:val="1FEB0348"/>
    <w:rsid w:val="2155673D"/>
    <w:rsid w:val="217B49B5"/>
    <w:rsid w:val="25334FFC"/>
    <w:rsid w:val="265B261C"/>
    <w:rsid w:val="26E60F2F"/>
    <w:rsid w:val="2777171F"/>
    <w:rsid w:val="28374BF9"/>
    <w:rsid w:val="283F0D7D"/>
    <w:rsid w:val="29E17ECF"/>
    <w:rsid w:val="29F17A79"/>
    <w:rsid w:val="2A163509"/>
    <w:rsid w:val="2BEF7F49"/>
    <w:rsid w:val="2C273B93"/>
    <w:rsid w:val="2C8204DE"/>
    <w:rsid w:val="2E8A5DA3"/>
    <w:rsid w:val="2EE94141"/>
    <w:rsid w:val="310F3168"/>
    <w:rsid w:val="31CC241B"/>
    <w:rsid w:val="31E51825"/>
    <w:rsid w:val="32C24615"/>
    <w:rsid w:val="355A7EE2"/>
    <w:rsid w:val="355D1578"/>
    <w:rsid w:val="355D1A20"/>
    <w:rsid w:val="37983152"/>
    <w:rsid w:val="37E24F4C"/>
    <w:rsid w:val="380541CD"/>
    <w:rsid w:val="38A731BC"/>
    <w:rsid w:val="38AB0E58"/>
    <w:rsid w:val="3971572F"/>
    <w:rsid w:val="398E4E00"/>
    <w:rsid w:val="3A4A0CD0"/>
    <w:rsid w:val="3AF143FE"/>
    <w:rsid w:val="3B164258"/>
    <w:rsid w:val="3D8E4D06"/>
    <w:rsid w:val="3EC15C04"/>
    <w:rsid w:val="40F33C83"/>
    <w:rsid w:val="424D6967"/>
    <w:rsid w:val="44B65B7C"/>
    <w:rsid w:val="45076938"/>
    <w:rsid w:val="45852F48"/>
    <w:rsid w:val="47107A2C"/>
    <w:rsid w:val="47B02837"/>
    <w:rsid w:val="49881965"/>
    <w:rsid w:val="49D3125B"/>
    <w:rsid w:val="4A413C1F"/>
    <w:rsid w:val="4A797DE0"/>
    <w:rsid w:val="4A9C14F9"/>
    <w:rsid w:val="4B701D22"/>
    <w:rsid w:val="4C6866A3"/>
    <w:rsid w:val="4CBF67BB"/>
    <w:rsid w:val="4DB84313"/>
    <w:rsid w:val="510219E5"/>
    <w:rsid w:val="51E676C4"/>
    <w:rsid w:val="535011CF"/>
    <w:rsid w:val="54F93C9A"/>
    <w:rsid w:val="55641C22"/>
    <w:rsid w:val="56353FD8"/>
    <w:rsid w:val="56EE7B37"/>
    <w:rsid w:val="57576CA1"/>
    <w:rsid w:val="57582925"/>
    <w:rsid w:val="5B570E5D"/>
    <w:rsid w:val="5DE13458"/>
    <w:rsid w:val="61033D11"/>
    <w:rsid w:val="610E0244"/>
    <w:rsid w:val="6180299B"/>
    <w:rsid w:val="61B7275D"/>
    <w:rsid w:val="621A0BB0"/>
    <w:rsid w:val="62341F48"/>
    <w:rsid w:val="6242353D"/>
    <w:rsid w:val="63A11840"/>
    <w:rsid w:val="64B36EE9"/>
    <w:rsid w:val="66095259"/>
    <w:rsid w:val="66732BA5"/>
    <w:rsid w:val="685B4774"/>
    <w:rsid w:val="6A1F439D"/>
    <w:rsid w:val="6A524E2D"/>
    <w:rsid w:val="6B5B0D2F"/>
    <w:rsid w:val="6C095A00"/>
    <w:rsid w:val="6D7A5963"/>
    <w:rsid w:val="6EFB604C"/>
    <w:rsid w:val="6F2B728F"/>
    <w:rsid w:val="70470A1D"/>
    <w:rsid w:val="70886160"/>
    <w:rsid w:val="71724535"/>
    <w:rsid w:val="71E3174B"/>
    <w:rsid w:val="72F75E47"/>
    <w:rsid w:val="73F12BC9"/>
    <w:rsid w:val="749649DF"/>
    <w:rsid w:val="74BA710A"/>
    <w:rsid w:val="74BF4D8C"/>
    <w:rsid w:val="7687606F"/>
    <w:rsid w:val="76971E09"/>
    <w:rsid w:val="77E77D4F"/>
    <w:rsid w:val="7841456F"/>
    <w:rsid w:val="78853563"/>
    <w:rsid w:val="7A916D31"/>
    <w:rsid w:val="7B1B4558"/>
    <w:rsid w:val="7BD55217"/>
    <w:rsid w:val="7C1B42AF"/>
    <w:rsid w:val="7C9F0813"/>
    <w:rsid w:val="7D1363DA"/>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2">
    <w:name w:val="heading 1"/>
    <w:basedOn w:val="1"/>
    <w:next w:val="1"/>
    <w:link w:val="29"/>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3">
    <w:name w:val="heading 2"/>
    <w:basedOn w:val="1"/>
    <w:next w:val="1"/>
    <w:link w:val="28"/>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spacing w:line="520" w:lineRule="exact"/>
      <w:ind w:firstLine="420" w:firstLineChars="200"/>
    </w:pPr>
  </w:style>
  <w:style w:type="paragraph" w:customStyle="1" w:styleId="6">
    <w:name w:val="表头"/>
    <w:basedOn w:val="7"/>
    <w:next w:val="1"/>
    <w:qFormat/>
    <w:uiPriority w:val="0"/>
    <w:pPr>
      <w:spacing w:line="360" w:lineRule="auto"/>
      <w:ind w:firstLine="960" w:firstLineChars="400"/>
    </w:pPr>
    <w:rPr>
      <w:sz w:val="24"/>
    </w:rPr>
  </w:style>
  <w:style w:type="paragraph" w:styleId="7">
    <w:name w:val="List"/>
    <w:basedOn w:val="1"/>
    <w:qFormat/>
    <w:uiPriority w:val="0"/>
    <w:pPr>
      <w:ind w:left="200" w:hanging="200" w:hangingChars="200"/>
    </w:pPr>
  </w:style>
  <w:style w:type="paragraph" w:styleId="8">
    <w:name w:val="annotation text"/>
    <w:basedOn w:val="1"/>
    <w:autoRedefine/>
    <w:semiHidden/>
    <w:qFormat/>
    <w:uiPriority w:val="0"/>
    <w:pPr>
      <w:jc w:val="left"/>
    </w:pPr>
    <w:rPr>
      <w:kern w:val="0"/>
      <w:sz w:val="24"/>
      <w:szCs w:val="20"/>
    </w:rPr>
  </w:style>
  <w:style w:type="paragraph" w:styleId="9">
    <w:name w:val="Body Text"/>
    <w:basedOn w:val="1"/>
    <w:autoRedefine/>
    <w:qFormat/>
    <w:uiPriority w:val="0"/>
    <w:rPr>
      <w:sz w:val="28"/>
    </w:rPr>
  </w:style>
  <w:style w:type="paragraph" w:styleId="10">
    <w:name w:val="Body Text Indent"/>
    <w:basedOn w:val="1"/>
    <w:next w:val="11"/>
    <w:qFormat/>
    <w:uiPriority w:val="0"/>
    <w:pPr>
      <w:spacing w:after="120"/>
      <w:ind w:left="420" w:leftChars="200"/>
    </w:pPr>
  </w:style>
  <w:style w:type="paragraph" w:customStyle="1" w:styleId="11">
    <w:name w:val="样式 正文文本缩进 + 行距: 1.5 倍行距"/>
    <w:basedOn w:val="10"/>
    <w:qFormat/>
    <w:uiPriority w:val="0"/>
    <w:pPr>
      <w:spacing w:after="120"/>
      <w:ind w:left="90" w:leftChars="32" w:firstLine="560" w:firstLineChars="200"/>
    </w:pPr>
    <w:rPr>
      <w:rFonts w:cs="宋体"/>
    </w:rPr>
  </w:style>
  <w:style w:type="paragraph" w:styleId="12">
    <w:name w:val="Plain Text"/>
    <w:basedOn w:val="1"/>
    <w:next w:val="1"/>
    <w:autoRedefine/>
    <w:qFormat/>
    <w:uiPriority w:val="0"/>
    <w:rPr>
      <w:rFonts w:ascii="宋体" w:hAnsi="Courier New"/>
    </w:rPr>
  </w:style>
  <w:style w:type="paragraph" w:styleId="13">
    <w:name w:val="List Bullet 5"/>
    <w:basedOn w:val="1"/>
    <w:autoRedefine/>
    <w:qFormat/>
    <w:uiPriority w:val="0"/>
    <w:pPr>
      <w:numPr>
        <w:ilvl w:val="0"/>
        <w:numId w:val="2"/>
      </w:numPr>
    </w:pPr>
  </w:style>
  <w:style w:type="paragraph" w:styleId="14">
    <w:name w:val="Date"/>
    <w:basedOn w:val="1"/>
    <w:next w:val="1"/>
    <w:autoRedefine/>
    <w:qFormat/>
    <w:uiPriority w:val="0"/>
    <w:pPr>
      <w:ind w:leftChars="2500"/>
    </w:pPr>
    <w:rPr>
      <w:rFonts w:eastAsia="仿宋_GB2312"/>
      <w:sz w:val="32"/>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footnote text"/>
    <w:basedOn w:val="1"/>
    <w:autoRedefine/>
    <w:qFormat/>
    <w:uiPriority w:val="0"/>
    <w:pPr>
      <w:snapToGrid w:val="0"/>
      <w:jc w:val="left"/>
    </w:pPr>
    <w:rPr>
      <w:sz w:val="18"/>
    </w:rPr>
  </w:style>
  <w:style w:type="paragraph" w:styleId="19">
    <w:name w:val="toc 2"/>
    <w:basedOn w:val="1"/>
    <w:next w:val="1"/>
    <w:autoRedefine/>
    <w:qFormat/>
    <w:uiPriority w:val="0"/>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0"/>
    <w:next w:val="1"/>
    <w:qFormat/>
    <w:uiPriority w:val="0"/>
    <w:pPr>
      <w:spacing w:after="120" w:afterLines="0"/>
      <w:ind w:left="420" w:leftChars="200" w:firstLine="420" w:firstLineChars="200"/>
    </w:pPr>
    <w:rPr>
      <w:rFonts w:ascii="Times New Roman" w:hAnsi="Times New Roman"/>
    </w:rPr>
  </w:style>
  <w:style w:type="table" w:styleId="23">
    <w:name w:val="Table Grid"/>
    <w:basedOn w:val="22"/>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25">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26">
    <w:name w:val="Default"/>
    <w:basedOn w:val="27"/>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27">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28">
    <w:name w:val="标题 2 Char"/>
    <w:link w:val="3"/>
    <w:autoRedefine/>
    <w:qFormat/>
    <w:locked/>
    <w:uiPriority w:val="99"/>
    <w:rPr>
      <w:rFonts w:ascii="Arial" w:hAnsi="Arial" w:eastAsia="宋体" w:cs="Times New Roman"/>
      <w:b/>
      <w:bCs/>
      <w:sz w:val="28"/>
      <w:szCs w:val="32"/>
    </w:rPr>
  </w:style>
  <w:style w:type="character" w:customStyle="1" w:styleId="29">
    <w:name w:val="标题 1 Char"/>
    <w:link w:val="2"/>
    <w:autoRedefine/>
    <w:qFormat/>
    <w:locked/>
    <w:uiPriority w:val="99"/>
    <w:rPr>
      <w:rFonts w:ascii="Calibri" w:hAnsi="Calibri" w:eastAsia="宋体"/>
      <w:b/>
      <w:kern w:val="44"/>
      <w:sz w:val="44"/>
      <w:szCs w:val="24"/>
      <w:lang w:bidi="ar-SA"/>
    </w:rPr>
  </w:style>
  <w:style w:type="paragraph" w:customStyle="1" w:styleId="30">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31">
    <w:name w:val="正文文本1"/>
    <w:basedOn w:val="1"/>
    <w:autoRedefine/>
    <w:qFormat/>
    <w:uiPriority w:val="0"/>
    <w:pPr>
      <w:spacing w:line="500" w:lineRule="exact"/>
    </w:pPr>
    <w:rPr>
      <w:rFonts w:ascii="宋体" w:hAnsi="宋体"/>
      <w:sz w:val="28"/>
    </w:rPr>
  </w:style>
  <w:style w:type="paragraph" w:customStyle="1" w:styleId="32">
    <w:name w:val="环保-正文内容"/>
    <w:basedOn w:val="1"/>
    <w:next w:val="1"/>
    <w:autoRedefine/>
    <w:qFormat/>
    <w:uiPriority w:val="0"/>
    <w:pPr>
      <w:adjustRightInd w:val="0"/>
      <w:snapToGrid w:val="0"/>
      <w:spacing w:line="360" w:lineRule="auto"/>
      <w:ind w:firstLine="200" w:firstLineChars="200"/>
      <w:jc w:val="both"/>
    </w:pPr>
    <w:rPr>
      <w:rFonts w:cs="宋体"/>
      <w:sz w:val="24"/>
    </w:rPr>
  </w:style>
  <w:style w:type="paragraph" w:customStyle="1" w:styleId="33">
    <w:name w:val="样式4"/>
    <w:basedOn w:val="34"/>
    <w:qFormat/>
    <w:uiPriority w:val="0"/>
    <w:pPr>
      <w:tabs>
        <w:tab w:val="right" w:leader="dot" w:pos="8607"/>
        <w:tab w:val="right" w:leader="dot" w:pos="8891"/>
      </w:tabs>
      <w:spacing w:line="240" w:lineRule="auto"/>
      <w:ind w:firstLine="0" w:firstLineChars="0"/>
      <w:jc w:val="center"/>
    </w:pPr>
    <w:rPr>
      <w:sz w:val="21"/>
    </w:rPr>
  </w:style>
  <w:style w:type="paragraph" w:customStyle="1" w:styleId="34">
    <w:name w:val="样式1"/>
    <w:basedOn w:val="5"/>
    <w:qFormat/>
    <w:uiPriority w:val="0"/>
    <w:pPr>
      <w:tabs>
        <w:tab w:val="right" w:leader="dot" w:pos="8607"/>
        <w:tab w:val="right" w:leader="dot" w:pos="8891"/>
      </w:tabs>
      <w:spacing w:line="360" w:lineRule="auto"/>
      <w:ind w:firstLine="482" w:firstLineChars="200"/>
      <w:jc w:val="left"/>
    </w:pPr>
    <w:rPr>
      <w:rFonts w:ascii="Times New Roman" w:hAnsi="Times New Roman" w:eastAsia="宋体"/>
      <w:sz w:val="24"/>
      <w:szCs w:val="28"/>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2421</Words>
  <Characters>2626</Characters>
  <Lines>0</Lines>
  <Paragraphs>0</Paragraphs>
  <TotalTime>3</TotalTime>
  <ScaleCrop>false</ScaleCrop>
  <LinksUpToDate>false</LinksUpToDate>
  <CharactersWithSpaces>2637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2025-09-05T08:32:00Z</cp:lastPrinted>
  <dcterms:modified xsi:type="dcterms:W3CDTF">2025-09-17T06:56:55Z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ACB303F618794B85863AA8E2A1F2A102_13</vt:lpwstr>
  </property>
  <property fmtid="{D5CDD505-2E9C-101B-9397-08002B2CF9AE}" pid="4" name="KSOTemplateDocerSaveRecord">
    <vt:lpwstr>eyJoZGlkIjoiMDc5MzViOWI5ODMxNmU1MjFmZjY5NjVlZTE5M2Q2YjUiLCJ1c2VySWQiOiIzNDEzNjc4NTYifQ==</vt:lpwstr>
  </property>
</Properties>
</file>